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A4686" w14:textId="4C05B146"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Załącznik do uchwały nr </w:t>
      </w:r>
      <w:r w:rsidR="00FF3913">
        <w:rPr>
          <w:rFonts w:ascii="Arial" w:hAnsi="Arial" w:cs="Arial"/>
          <w:b/>
          <w:sz w:val="20"/>
          <w:szCs w:val="20"/>
        </w:rPr>
        <w:t>10</w:t>
      </w:r>
      <w:r w:rsidRPr="007541BD">
        <w:rPr>
          <w:rFonts w:ascii="Arial" w:hAnsi="Arial" w:cs="Arial"/>
          <w:b/>
          <w:sz w:val="20"/>
          <w:szCs w:val="20"/>
        </w:rPr>
        <w:t xml:space="preserve"> </w:t>
      </w:r>
    </w:p>
    <w:p w14:paraId="3F4073AC" w14:textId="7777777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42AD4B8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1D167C">
        <w:rPr>
          <w:rFonts w:ascii="Arial" w:hAnsi="Arial" w:cs="Arial"/>
          <w:b/>
          <w:sz w:val="20"/>
          <w:szCs w:val="20"/>
        </w:rPr>
        <w:t xml:space="preserve">16 </w:t>
      </w:r>
      <w:r w:rsidR="00B5532F">
        <w:rPr>
          <w:rFonts w:ascii="Arial" w:hAnsi="Arial" w:cs="Arial"/>
          <w:b/>
          <w:sz w:val="20"/>
          <w:szCs w:val="20"/>
        </w:rPr>
        <w:t>kwietnia</w:t>
      </w:r>
      <w:r w:rsidR="00B5532F" w:rsidRPr="007541BD">
        <w:rPr>
          <w:rFonts w:ascii="Arial" w:hAnsi="Arial" w:cs="Arial"/>
          <w:b/>
          <w:sz w:val="20"/>
          <w:szCs w:val="20"/>
        </w:rPr>
        <w:t xml:space="preserve"> </w:t>
      </w:r>
      <w:r w:rsidRPr="007541BD">
        <w:rPr>
          <w:rFonts w:ascii="Arial" w:hAnsi="Arial" w:cs="Arial"/>
          <w:b/>
          <w:sz w:val="20"/>
          <w:szCs w:val="20"/>
        </w:rPr>
        <w:t>20</w:t>
      </w:r>
      <w:r w:rsidR="00B5532F">
        <w:rPr>
          <w:rFonts w:ascii="Arial" w:hAnsi="Arial" w:cs="Arial"/>
          <w:b/>
          <w:sz w:val="20"/>
          <w:szCs w:val="20"/>
        </w:rPr>
        <w:t>20</w:t>
      </w:r>
      <w:r w:rsidRPr="007541BD">
        <w:rPr>
          <w:rFonts w:ascii="Arial" w:hAnsi="Arial" w:cs="Arial"/>
          <w:b/>
          <w:sz w:val="20"/>
          <w:szCs w:val="20"/>
        </w:rPr>
        <w:t xml:space="preserve">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65A4C933" w14:textId="50639EDD" w:rsidR="008A332F" w:rsidRDefault="00DA534C"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 z postępu rzeczowo-finansowego projektu informatycznego </w:t>
      </w:r>
    </w:p>
    <w:p w14:paraId="3C8F6B73" w14:textId="748E2175"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za</w:t>
      </w:r>
      <w:r w:rsidR="00A07CF9">
        <w:rPr>
          <w:rFonts w:ascii="Arial" w:hAnsi="Arial" w:cs="Arial"/>
          <w:b/>
          <w:color w:val="auto"/>
          <w:sz w:val="24"/>
          <w:szCs w:val="24"/>
        </w:rPr>
        <w:t xml:space="preserve"> I</w:t>
      </w:r>
      <w:r w:rsidR="00BE28F7">
        <w:rPr>
          <w:rFonts w:ascii="Arial" w:hAnsi="Arial" w:cs="Arial"/>
          <w:b/>
          <w:color w:val="auto"/>
          <w:sz w:val="24"/>
          <w:szCs w:val="24"/>
        </w:rPr>
        <w:t>V</w:t>
      </w:r>
      <w:r w:rsidRPr="002B50C0">
        <w:rPr>
          <w:rFonts w:ascii="Arial" w:hAnsi="Arial" w:cs="Arial"/>
          <w:b/>
          <w:color w:val="auto"/>
          <w:sz w:val="24"/>
          <w:szCs w:val="24"/>
        </w:rPr>
        <w:t xml:space="preserve"> kwartał</w:t>
      </w:r>
      <w:r w:rsidR="00A07CF9">
        <w:rPr>
          <w:rFonts w:ascii="Arial" w:hAnsi="Arial" w:cs="Arial"/>
          <w:b/>
          <w:color w:val="auto"/>
          <w:sz w:val="24"/>
          <w:szCs w:val="24"/>
        </w:rPr>
        <w:t xml:space="preserve"> 202</w:t>
      </w:r>
      <w:r w:rsidR="007C5219">
        <w:rPr>
          <w:rFonts w:ascii="Arial" w:hAnsi="Arial" w:cs="Arial"/>
          <w:b/>
          <w:color w:val="auto"/>
          <w:sz w:val="24"/>
          <w:szCs w:val="24"/>
        </w:rPr>
        <w:t>1</w:t>
      </w:r>
      <w:r w:rsidR="00A07CF9">
        <w:rPr>
          <w:rFonts w:ascii="Arial" w:hAnsi="Arial" w:cs="Arial"/>
          <w:b/>
          <w:color w:val="auto"/>
          <w:sz w:val="24"/>
          <w:szCs w:val="24"/>
        </w:rPr>
        <w:t xml:space="preserve"> </w:t>
      </w:r>
      <w:r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2ED54C1B" w:rsidR="00CA516B" w:rsidRPr="006F36F8" w:rsidRDefault="006F36F8" w:rsidP="004A532C">
            <w:pPr>
              <w:spacing w:line="276" w:lineRule="auto"/>
              <w:rPr>
                <w:rFonts w:ascii="Arial" w:hAnsi="Arial" w:cs="Arial"/>
                <w:i/>
                <w:color w:val="0070C0"/>
                <w:sz w:val="24"/>
                <w:szCs w:val="24"/>
              </w:rPr>
            </w:pPr>
            <w:r w:rsidRPr="006F36F8">
              <w:rPr>
                <w:rFonts w:ascii="Arial" w:hAnsi="Arial" w:cs="Arial"/>
                <w:sz w:val="24"/>
                <w:szCs w:val="24"/>
              </w:rPr>
              <w:t>e-CzasPL- system niezawodnej i wiarygodnej dystrybucji czasu urzędowego na obszarze RP</w:t>
            </w:r>
            <w:r w:rsidRPr="006F36F8">
              <w:rPr>
                <w:rFonts w:ascii="Arial" w:eastAsiaTheme="minorEastAsia" w:hAnsi="Arial" w:cs="Arial"/>
                <w:b/>
                <w:bCs/>
                <w:sz w:val="24"/>
                <w:szCs w:val="24"/>
              </w:rPr>
              <w:t>”</w:t>
            </w:r>
          </w:p>
        </w:tc>
      </w:tr>
      <w:tr w:rsidR="00CA516B" w:rsidRPr="002B50C0" w14:paraId="05B59807"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2565CD0A" w:rsidR="00CA516B" w:rsidRPr="00141A92" w:rsidRDefault="00A17AD3" w:rsidP="00A17AD3">
            <w:pPr>
              <w:spacing w:line="276" w:lineRule="auto"/>
              <w:rPr>
                <w:rFonts w:ascii="Arial" w:hAnsi="Arial" w:cs="Arial"/>
                <w:color w:val="0070C0"/>
                <w:sz w:val="18"/>
                <w:szCs w:val="18"/>
              </w:rPr>
            </w:pPr>
            <w:r w:rsidRPr="00A17AD3">
              <w:rPr>
                <w:rFonts w:ascii="Arial" w:hAnsi="Arial" w:cs="Arial"/>
                <w:sz w:val="24"/>
                <w:szCs w:val="24"/>
              </w:rPr>
              <w:t>Minister Rozwoju, Pracy i Technologii</w:t>
            </w:r>
          </w:p>
        </w:tc>
      </w:tr>
      <w:tr w:rsidR="00CA516B" w:rsidRPr="0030196F" w14:paraId="719B01E2"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2345C4B1" w:rsidR="00CA516B" w:rsidRPr="006822BC" w:rsidRDefault="006F36F8" w:rsidP="004A532C">
            <w:pPr>
              <w:spacing w:line="276" w:lineRule="auto"/>
              <w:rPr>
                <w:rFonts w:ascii="Arial" w:hAnsi="Arial" w:cs="Arial"/>
                <w:color w:val="0070C0"/>
                <w:sz w:val="18"/>
                <w:szCs w:val="18"/>
              </w:rPr>
            </w:pPr>
            <w:r w:rsidRPr="004A532C">
              <w:rPr>
                <w:rFonts w:ascii="Arial" w:hAnsi="Arial" w:cs="Arial"/>
                <w:sz w:val="24"/>
                <w:szCs w:val="24"/>
              </w:rPr>
              <w:t>Główny Urząd Miar</w:t>
            </w:r>
          </w:p>
        </w:tc>
      </w:tr>
      <w:tr w:rsidR="00CA516B"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0B333AC6" w:rsidR="00CA516B" w:rsidRPr="00D55883" w:rsidRDefault="00C85AF2">
            <w:pPr>
              <w:spacing w:line="276" w:lineRule="auto"/>
              <w:rPr>
                <w:rFonts w:ascii="Arial" w:hAnsi="Arial" w:cs="Arial"/>
                <w:iCs/>
                <w:sz w:val="18"/>
                <w:szCs w:val="18"/>
              </w:rPr>
            </w:pPr>
            <w:r w:rsidRPr="00D55883">
              <w:rPr>
                <w:rFonts w:ascii="Arial" w:hAnsi="Arial" w:cs="Arial"/>
                <w:iCs/>
                <w:sz w:val="18"/>
                <w:szCs w:val="18"/>
              </w:rPr>
              <w:t>___________</w:t>
            </w:r>
          </w:p>
        </w:tc>
      </w:tr>
      <w:tr w:rsidR="00CA516B"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77769BC" w14:textId="77777777" w:rsidR="00E23CE4" w:rsidRPr="00E23CE4" w:rsidRDefault="00E23CE4" w:rsidP="009D2FA4">
            <w:pPr>
              <w:spacing w:line="276" w:lineRule="auto"/>
              <w:rPr>
                <w:rFonts w:ascii="Arial" w:hAnsi="Arial" w:cs="Arial"/>
                <w:sz w:val="24"/>
                <w:szCs w:val="24"/>
              </w:rPr>
            </w:pPr>
            <w:r w:rsidRPr="00E23CE4">
              <w:rPr>
                <w:rFonts w:ascii="Arial" w:hAnsi="Arial" w:cs="Arial"/>
                <w:sz w:val="24"/>
                <w:szCs w:val="24"/>
              </w:rPr>
              <w:t xml:space="preserve">Budżet państwa: część budżetowa - 64 </w:t>
            </w:r>
          </w:p>
          <w:p w14:paraId="55582688" w14:textId="60F7A4BA" w:rsidR="00CA516B" w:rsidRPr="00141A92" w:rsidRDefault="00E23CE4" w:rsidP="009D2FA4">
            <w:pPr>
              <w:spacing w:line="276" w:lineRule="auto"/>
              <w:rPr>
                <w:rFonts w:ascii="Arial" w:hAnsi="Arial" w:cs="Arial"/>
                <w:color w:val="0070C0"/>
                <w:sz w:val="18"/>
                <w:szCs w:val="18"/>
              </w:rPr>
            </w:pPr>
            <w:r w:rsidRPr="00E23CE4">
              <w:rPr>
                <w:rFonts w:ascii="Arial" w:hAnsi="Arial" w:cs="Arial"/>
                <w:sz w:val="24"/>
                <w:szCs w:val="24"/>
              </w:rPr>
              <w:t>Budżet środków europejskich: Program Operacyjny Polska Cyfrowa II oś priorytetowa E-administracja i otwarty rząd Działanie 2.1 „Wysoka dostępność i jakość e-usług publicznych"</w:t>
            </w:r>
          </w:p>
        </w:tc>
      </w:tr>
      <w:tr w:rsidR="00CA516B"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7D51B9C2" w:rsidR="00CA516B" w:rsidRPr="004A532C" w:rsidRDefault="004A532C">
            <w:pPr>
              <w:spacing w:line="276" w:lineRule="auto"/>
              <w:rPr>
                <w:rFonts w:ascii="Arial" w:hAnsi="Arial" w:cs="Arial"/>
                <w:sz w:val="24"/>
                <w:szCs w:val="24"/>
              </w:rPr>
            </w:pPr>
            <w:r w:rsidRPr="004A532C">
              <w:rPr>
                <w:rFonts w:ascii="Arial" w:hAnsi="Arial" w:cs="Arial"/>
                <w:sz w:val="24"/>
                <w:szCs w:val="24"/>
              </w:rPr>
              <w:t>11 898 429,00 zł</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578149C0" w:rsidR="005212C8" w:rsidRPr="004A532C" w:rsidRDefault="004A532C">
            <w:pPr>
              <w:spacing w:line="276" w:lineRule="auto"/>
              <w:rPr>
                <w:rFonts w:ascii="Arial" w:hAnsi="Arial" w:cs="Arial"/>
                <w:sz w:val="24"/>
                <w:szCs w:val="24"/>
              </w:rPr>
            </w:pPr>
            <w:r w:rsidRPr="004A532C">
              <w:rPr>
                <w:rFonts w:ascii="Arial" w:hAnsi="Arial" w:cs="Arial"/>
                <w:sz w:val="24"/>
                <w:szCs w:val="24"/>
              </w:rPr>
              <w:t>11 898 429,00 zł</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6E6A270" w14:textId="578B4147" w:rsidR="00E23CE4" w:rsidRPr="00E23CE4" w:rsidRDefault="00E23CE4" w:rsidP="00E23CE4">
            <w:pPr>
              <w:spacing w:after="0"/>
              <w:rPr>
                <w:rFonts w:ascii="Arial" w:hAnsi="Arial" w:cs="Arial"/>
                <w:color w:val="0070C0"/>
                <w:sz w:val="18"/>
                <w:szCs w:val="18"/>
              </w:rPr>
            </w:pPr>
          </w:p>
          <w:p w14:paraId="78B41459" w14:textId="47627860" w:rsidR="00E23CE4" w:rsidRPr="00E23CE4" w:rsidRDefault="00E23CE4" w:rsidP="00E23CE4">
            <w:pPr>
              <w:spacing w:line="276" w:lineRule="auto"/>
              <w:rPr>
                <w:rFonts w:ascii="Arial" w:hAnsi="Arial" w:cs="Arial"/>
                <w:sz w:val="24"/>
                <w:szCs w:val="24"/>
              </w:rPr>
            </w:pPr>
            <w:r>
              <w:rPr>
                <w:rFonts w:ascii="Arial" w:hAnsi="Arial" w:cs="Arial"/>
                <w:sz w:val="24"/>
                <w:szCs w:val="24"/>
              </w:rPr>
              <w:t xml:space="preserve">- </w:t>
            </w:r>
            <w:r w:rsidRPr="00E23CE4">
              <w:rPr>
                <w:rFonts w:ascii="Arial" w:hAnsi="Arial" w:cs="Arial"/>
                <w:sz w:val="24"/>
                <w:szCs w:val="24"/>
              </w:rPr>
              <w:t xml:space="preserve">data rozpoczęcia realizacji projektu: </w:t>
            </w:r>
            <w:r w:rsidR="00C85AF2">
              <w:rPr>
                <w:rFonts w:ascii="Arial" w:hAnsi="Arial" w:cs="Arial"/>
                <w:sz w:val="24"/>
                <w:szCs w:val="24"/>
              </w:rPr>
              <w:t>0</w:t>
            </w:r>
            <w:r w:rsidRPr="00E23CE4">
              <w:rPr>
                <w:rFonts w:ascii="Arial" w:hAnsi="Arial" w:cs="Arial"/>
                <w:sz w:val="24"/>
                <w:szCs w:val="24"/>
              </w:rPr>
              <w:t>1.0</w:t>
            </w:r>
            <w:r>
              <w:rPr>
                <w:rFonts w:ascii="Arial" w:hAnsi="Arial" w:cs="Arial"/>
                <w:sz w:val="24"/>
                <w:szCs w:val="24"/>
              </w:rPr>
              <w:t>4</w:t>
            </w:r>
            <w:r w:rsidRPr="00E23CE4">
              <w:rPr>
                <w:rFonts w:ascii="Arial" w:hAnsi="Arial" w:cs="Arial"/>
                <w:sz w:val="24"/>
                <w:szCs w:val="24"/>
              </w:rPr>
              <w:t>.20</w:t>
            </w:r>
            <w:r>
              <w:rPr>
                <w:rFonts w:ascii="Arial" w:hAnsi="Arial" w:cs="Arial"/>
                <w:sz w:val="24"/>
                <w:szCs w:val="24"/>
              </w:rPr>
              <w:t>20</w:t>
            </w:r>
          </w:p>
          <w:p w14:paraId="50945D56" w14:textId="10797B0C" w:rsidR="00CA516B" w:rsidRDefault="00E23CE4" w:rsidP="00E23CE4">
            <w:pPr>
              <w:spacing w:line="276" w:lineRule="auto"/>
              <w:rPr>
                <w:rFonts w:ascii="Arial" w:hAnsi="Arial" w:cs="Arial"/>
                <w:sz w:val="24"/>
                <w:szCs w:val="24"/>
              </w:rPr>
            </w:pPr>
            <w:r>
              <w:rPr>
                <w:rFonts w:ascii="Arial" w:hAnsi="Arial" w:cs="Arial"/>
                <w:sz w:val="24"/>
                <w:szCs w:val="24"/>
              </w:rPr>
              <w:t xml:space="preserve">- </w:t>
            </w:r>
            <w:r w:rsidRPr="00E23CE4">
              <w:rPr>
                <w:rFonts w:ascii="Arial" w:hAnsi="Arial" w:cs="Arial"/>
                <w:sz w:val="24"/>
                <w:szCs w:val="24"/>
              </w:rPr>
              <w:t xml:space="preserve">data zakończenia realizacji projektu: </w:t>
            </w:r>
            <w:r w:rsidR="0047542D">
              <w:rPr>
                <w:rFonts w:ascii="Arial" w:hAnsi="Arial" w:cs="Arial"/>
                <w:sz w:val="24"/>
                <w:szCs w:val="24"/>
              </w:rPr>
              <w:t>29</w:t>
            </w:r>
            <w:r w:rsidRPr="00E23CE4">
              <w:rPr>
                <w:rFonts w:ascii="Arial" w:hAnsi="Arial" w:cs="Arial"/>
                <w:sz w:val="24"/>
                <w:szCs w:val="24"/>
              </w:rPr>
              <w:t>.06.20</w:t>
            </w:r>
            <w:r>
              <w:rPr>
                <w:rFonts w:ascii="Arial" w:hAnsi="Arial" w:cs="Arial"/>
                <w:sz w:val="24"/>
                <w:szCs w:val="24"/>
              </w:rPr>
              <w:t>23</w:t>
            </w:r>
          </w:p>
          <w:p w14:paraId="1F722459" w14:textId="512726DB" w:rsidR="00C363F7" w:rsidRDefault="00C363F7" w:rsidP="00E23CE4">
            <w:pPr>
              <w:spacing w:line="276" w:lineRule="auto"/>
              <w:rPr>
                <w:rFonts w:ascii="Arial" w:hAnsi="Arial" w:cs="Arial"/>
                <w:sz w:val="24"/>
                <w:szCs w:val="24"/>
              </w:rPr>
            </w:pPr>
            <w:r w:rsidRPr="00C363F7">
              <w:rPr>
                <w:rFonts w:ascii="Arial" w:hAnsi="Arial" w:cs="Arial"/>
                <w:sz w:val="24"/>
                <w:szCs w:val="24"/>
              </w:rPr>
              <w:t xml:space="preserve">- </w:t>
            </w:r>
            <w:r w:rsidR="00FC794E">
              <w:rPr>
                <w:rFonts w:ascii="Arial" w:hAnsi="Arial" w:cs="Arial"/>
                <w:sz w:val="24"/>
                <w:szCs w:val="24"/>
              </w:rPr>
              <w:t xml:space="preserve">pierwotna </w:t>
            </w:r>
            <w:r w:rsidRPr="00C363F7">
              <w:rPr>
                <w:rFonts w:ascii="Arial" w:hAnsi="Arial" w:cs="Arial"/>
                <w:sz w:val="24"/>
                <w:szCs w:val="24"/>
              </w:rPr>
              <w:t>data zakończenia realizacji projektu</w:t>
            </w:r>
            <w:r w:rsidR="00FC794E">
              <w:rPr>
                <w:rFonts w:ascii="Arial" w:hAnsi="Arial" w:cs="Arial"/>
                <w:sz w:val="24"/>
                <w:szCs w:val="24"/>
              </w:rPr>
              <w:t xml:space="preserve"> (sprzed zmiany)</w:t>
            </w:r>
            <w:r w:rsidRPr="00C363F7">
              <w:rPr>
                <w:rFonts w:ascii="Arial" w:hAnsi="Arial" w:cs="Arial"/>
                <w:sz w:val="24"/>
                <w:szCs w:val="24"/>
              </w:rPr>
              <w:t xml:space="preserve">: </w:t>
            </w:r>
            <w:r>
              <w:rPr>
                <w:rFonts w:ascii="Arial" w:hAnsi="Arial" w:cs="Arial"/>
                <w:sz w:val="24"/>
                <w:szCs w:val="24"/>
              </w:rPr>
              <w:t>31.03.2023</w:t>
            </w:r>
          </w:p>
          <w:p w14:paraId="55CE9679" w14:textId="19EB63DA" w:rsidR="00573BED" w:rsidRPr="00D330AF" w:rsidRDefault="00573BED" w:rsidP="00E23CE4">
            <w:pPr>
              <w:spacing w:line="276" w:lineRule="auto"/>
              <w:rPr>
                <w:rFonts w:ascii="Arial" w:hAnsi="Arial" w:cs="Arial"/>
                <w:iCs/>
                <w:color w:val="0070C0"/>
                <w:sz w:val="18"/>
                <w:szCs w:val="18"/>
              </w:rPr>
            </w:pPr>
            <w:r>
              <w:rPr>
                <w:rFonts w:ascii="Arial" w:hAnsi="Arial" w:cs="Arial"/>
                <w:sz w:val="18"/>
                <w:szCs w:val="20"/>
              </w:rPr>
              <w:t xml:space="preserve">(W ramach </w:t>
            </w:r>
            <w:r w:rsidRPr="00AD28EC">
              <w:rPr>
                <w:rFonts w:ascii="Arial" w:hAnsi="Arial" w:cs="Arial"/>
                <w:sz w:val="18"/>
                <w:szCs w:val="20"/>
              </w:rPr>
              <w:t>realizacji</w:t>
            </w:r>
            <w:r>
              <w:rPr>
                <w:rFonts w:ascii="Arial" w:hAnsi="Arial" w:cs="Arial"/>
                <w:sz w:val="18"/>
                <w:szCs w:val="20"/>
              </w:rPr>
              <w:t xml:space="preserve"> projektu e-CzasPL </w:t>
            </w:r>
            <w:r w:rsidRPr="00AD28EC">
              <w:rPr>
                <w:rFonts w:ascii="Arial" w:hAnsi="Arial" w:cs="Arial"/>
                <w:sz w:val="18"/>
                <w:szCs w:val="20"/>
              </w:rPr>
              <w:t xml:space="preserve">Główny Urząd Miar zwrócił się do </w:t>
            </w:r>
            <w:r>
              <w:rPr>
                <w:rFonts w:ascii="Arial" w:hAnsi="Arial" w:cs="Arial"/>
                <w:sz w:val="18"/>
                <w:szCs w:val="20"/>
              </w:rPr>
              <w:t>I</w:t>
            </w:r>
            <w:r w:rsidRPr="00AD28EC">
              <w:rPr>
                <w:rFonts w:ascii="Arial" w:hAnsi="Arial" w:cs="Arial"/>
                <w:sz w:val="18"/>
                <w:szCs w:val="20"/>
              </w:rPr>
              <w:t xml:space="preserve">nstytucji Pośredniczącej </w:t>
            </w:r>
            <w:r>
              <w:rPr>
                <w:rFonts w:ascii="Arial" w:hAnsi="Arial" w:cs="Arial"/>
                <w:sz w:val="18"/>
                <w:szCs w:val="20"/>
              </w:rPr>
              <w:t>z prośbą o przesunięcie terminu realizacji projektu. Zgodnie z obowiązującymi przepisami Ustawy COVID-19 termin zakończenia realizacji projektu został przesunięty o 90 dni.)</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9F7DA39" w14:textId="74D90EE5" w:rsidR="004C1D48" w:rsidRPr="00AD28EC" w:rsidRDefault="004C1D48" w:rsidP="0062054D">
      <w:pPr>
        <w:pStyle w:val="Nagwek3"/>
        <w:spacing w:after="360"/>
        <w:ind w:left="284" w:hanging="284"/>
        <w:rPr>
          <w:rFonts w:ascii="Arial" w:eastAsiaTheme="minorHAnsi" w:hAnsi="Arial" w:cs="Arial"/>
          <w:color w:val="auto"/>
          <w:sz w:val="18"/>
          <w:szCs w:val="18"/>
        </w:rPr>
      </w:pPr>
      <w:r w:rsidRPr="00AD28EC">
        <w:rPr>
          <w:rFonts w:ascii="Arial" w:hAnsi="Arial" w:cs="Arial"/>
          <w:color w:val="auto"/>
        </w:rPr>
        <w:t xml:space="preserve"> </w:t>
      </w:r>
      <w:r w:rsidR="00F2008A" w:rsidRPr="00AD28EC">
        <w:rPr>
          <w:rFonts w:ascii="Arial" w:hAnsi="Arial" w:cs="Arial"/>
          <w:color w:val="auto"/>
        </w:rPr>
        <w:tab/>
      </w:r>
      <w:r w:rsidR="000C32FA" w:rsidRPr="00AD28EC">
        <w:rPr>
          <w:rFonts w:ascii="Arial" w:hAnsi="Arial" w:cs="Arial"/>
          <w:color w:val="auto"/>
          <w:sz w:val="18"/>
          <w:szCs w:val="18"/>
        </w:rPr>
        <w:t>Projekt nie wymaga zmian legislacyjnych.</w:t>
      </w:r>
      <w:r w:rsidR="00F2008A" w:rsidRPr="00AD28EC">
        <w:rPr>
          <w:rFonts w:ascii="Arial" w:eastAsiaTheme="minorHAnsi" w:hAnsi="Arial" w:cs="Arial"/>
          <w:color w:val="auto"/>
          <w:sz w:val="18"/>
          <w:szCs w:val="18"/>
        </w:rPr>
        <w:t xml:space="preserve"> </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A82B0D" w14:paraId="7001934B" w14:textId="77777777" w:rsidTr="00141A92">
        <w:trPr>
          <w:tblHeader/>
        </w:trPr>
        <w:tc>
          <w:tcPr>
            <w:tcW w:w="2972" w:type="dxa"/>
            <w:shd w:val="clear" w:color="auto" w:fill="D0CECE" w:themeFill="background2" w:themeFillShade="E6"/>
            <w:vAlign w:val="center"/>
          </w:tcPr>
          <w:p w14:paraId="6493274C" w14:textId="77777777" w:rsidR="00907F6D" w:rsidRPr="00A82B0D" w:rsidRDefault="00795AFA" w:rsidP="00586664">
            <w:pPr>
              <w:spacing w:before="120" w:after="120"/>
              <w:rPr>
                <w:rFonts w:ascii="Arial" w:hAnsi="Arial" w:cs="Arial"/>
                <w:b/>
                <w:sz w:val="20"/>
                <w:szCs w:val="20"/>
              </w:rPr>
            </w:pPr>
            <w:r w:rsidRPr="00A82B0D">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A82B0D" w:rsidRDefault="00795AFA" w:rsidP="00586664">
            <w:pPr>
              <w:rPr>
                <w:rFonts w:ascii="Arial" w:hAnsi="Arial" w:cs="Arial"/>
                <w:b/>
                <w:sz w:val="20"/>
                <w:szCs w:val="20"/>
              </w:rPr>
            </w:pPr>
            <w:r w:rsidRPr="00A82B0D">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A82B0D" w:rsidRDefault="00795AFA" w:rsidP="00586664">
            <w:pPr>
              <w:rPr>
                <w:rFonts w:ascii="Arial" w:hAnsi="Arial" w:cs="Arial"/>
                <w:b/>
                <w:sz w:val="20"/>
                <w:szCs w:val="20"/>
              </w:rPr>
            </w:pPr>
            <w:r w:rsidRPr="00A82B0D">
              <w:rPr>
                <w:rFonts w:ascii="Arial" w:hAnsi="Arial" w:cs="Arial"/>
                <w:b/>
                <w:sz w:val="20"/>
                <w:szCs w:val="20"/>
              </w:rPr>
              <w:t>Wartość środków zaangażowanych</w:t>
            </w:r>
          </w:p>
        </w:tc>
      </w:tr>
      <w:tr w:rsidR="00907F6D" w:rsidRPr="00A82B0D" w14:paraId="59735F91" w14:textId="77777777" w:rsidTr="00795AFA">
        <w:tc>
          <w:tcPr>
            <w:tcW w:w="2972" w:type="dxa"/>
          </w:tcPr>
          <w:p w14:paraId="077C8D26" w14:textId="39357B5D" w:rsidR="00907F6D" w:rsidRPr="00A82B0D" w:rsidRDefault="00C32AE0" w:rsidP="00507548">
            <w:pPr>
              <w:jc w:val="center"/>
              <w:rPr>
                <w:rFonts w:ascii="Arial" w:hAnsi="Arial" w:cs="Arial"/>
                <w:sz w:val="18"/>
                <w:szCs w:val="20"/>
              </w:rPr>
            </w:pPr>
            <w:r w:rsidRPr="00A82B0D">
              <w:rPr>
                <w:rFonts w:ascii="Arial" w:hAnsi="Arial" w:cs="Arial"/>
                <w:sz w:val="18"/>
                <w:szCs w:val="20"/>
              </w:rPr>
              <w:t>53,85</w:t>
            </w:r>
            <w:r w:rsidR="00836502" w:rsidRPr="00A82B0D">
              <w:rPr>
                <w:rFonts w:ascii="Arial" w:hAnsi="Arial" w:cs="Arial"/>
                <w:sz w:val="18"/>
                <w:szCs w:val="20"/>
              </w:rPr>
              <w:t xml:space="preserve"> %</w:t>
            </w:r>
          </w:p>
        </w:tc>
        <w:tc>
          <w:tcPr>
            <w:tcW w:w="3260" w:type="dxa"/>
          </w:tcPr>
          <w:p w14:paraId="1B061A32" w14:textId="44F42875" w:rsidR="006948D3" w:rsidRPr="00A82B0D" w:rsidRDefault="00A82B0D" w:rsidP="00D330AF">
            <w:pPr>
              <w:pStyle w:val="Akapitzlist"/>
              <w:numPr>
                <w:ilvl w:val="0"/>
                <w:numId w:val="21"/>
              </w:numPr>
              <w:rPr>
                <w:rFonts w:ascii="Arial" w:hAnsi="Arial" w:cs="Arial"/>
                <w:sz w:val="18"/>
                <w:szCs w:val="20"/>
              </w:rPr>
            </w:pPr>
            <w:r w:rsidRPr="00A82B0D">
              <w:rPr>
                <w:rFonts w:ascii="Arial" w:hAnsi="Arial" w:cs="Arial"/>
                <w:sz w:val="18"/>
                <w:szCs w:val="20"/>
              </w:rPr>
              <w:t xml:space="preserve">25 </w:t>
            </w:r>
            <w:r w:rsidR="00836502" w:rsidRPr="00A82B0D">
              <w:rPr>
                <w:rFonts w:ascii="Arial" w:hAnsi="Arial" w:cs="Arial"/>
                <w:sz w:val="18"/>
                <w:szCs w:val="20"/>
              </w:rPr>
              <w:t>%</w:t>
            </w:r>
          </w:p>
          <w:p w14:paraId="6AC79DA7" w14:textId="797D4A51" w:rsidR="00071880" w:rsidRPr="00A82B0D" w:rsidRDefault="00A82B0D" w:rsidP="00DA534C">
            <w:pPr>
              <w:pStyle w:val="Akapitzlist"/>
              <w:numPr>
                <w:ilvl w:val="0"/>
                <w:numId w:val="21"/>
              </w:numPr>
              <w:rPr>
                <w:rFonts w:ascii="Arial" w:hAnsi="Arial" w:cs="Arial"/>
                <w:sz w:val="18"/>
                <w:szCs w:val="20"/>
              </w:rPr>
            </w:pPr>
            <w:r w:rsidRPr="00A82B0D">
              <w:rPr>
                <w:rFonts w:ascii="Arial" w:hAnsi="Arial" w:cs="Arial"/>
                <w:sz w:val="18"/>
                <w:szCs w:val="20"/>
              </w:rPr>
              <w:t>4,95</w:t>
            </w:r>
            <w:r w:rsidR="00D330AF" w:rsidRPr="00A82B0D">
              <w:rPr>
                <w:rFonts w:ascii="Arial" w:hAnsi="Arial" w:cs="Arial"/>
                <w:sz w:val="18"/>
                <w:szCs w:val="20"/>
              </w:rPr>
              <w:t>%</w:t>
            </w:r>
          </w:p>
          <w:p w14:paraId="4C2F5EFF" w14:textId="61C2F65E" w:rsidR="00D330AF" w:rsidRPr="00A82B0D" w:rsidRDefault="00D330AF" w:rsidP="00D330AF">
            <w:pPr>
              <w:pStyle w:val="Akapitzlist"/>
              <w:numPr>
                <w:ilvl w:val="0"/>
                <w:numId w:val="21"/>
              </w:numPr>
              <w:rPr>
                <w:rFonts w:ascii="Arial" w:hAnsi="Arial" w:cs="Arial"/>
                <w:sz w:val="18"/>
                <w:szCs w:val="20"/>
              </w:rPr>
            </w:pPr>
            <w:r w:rsidRPr="00A82B0D">
              <w:rPr>
                <w:rFonts w:ascii="Arial" w:hAnsi="Arial" w:cs="Arial"/>
                <w:sz w:val="18"/>
                <w:szCs w:val="20"/>
              </w:rPr>
              <w:lastRenderedPageBreak/>
              <w:t>Nie dotyczy</w:t>
            </w:r>
          </w:p>
          <w:p w14:paraId="4929DAC9" w14:textId="77D5919E" w:rsidR="00907F6D" w:rsidRPr="00A82B0D" w:rsidRDefault="00907F6D" w:rsidP="006B5117">
            <w:pPr>
              <w:rPr>
                <w:rFonts w:ascii="Arial" w:hAnsi="Arial" w:cs="Arial"/>
                <w:sz w:val="18"/>
                <w:szCs w:val="20"/>
              </w:rPr>
            </w:pPr>
          </w:p>
        </w:tc>
        <w:tc>
          <w:tcPr>
            <w:tcW w:w="3402" w:type="dxa"/>
          </w:tcPr>
          <w:p w14:paraId="7DB1369C" w14:textId="1A5ECDD5" w:rsidR="00D330AF" w:rsidRPr="00A82B0D" w:rsidRDefault="00C32AE0" w:rsidP="00507548">
            <w:pPr>
              <w:pStyle w:val="Akapitzlist"/>
              <w:jc w:val="center"/>
              <w:rPr>
                <w:rFonts w:ascii="Arial" w:hAnsi="Arial" w:cs="Arial"/>
                <w:sz w:val="18"/>
                <w:szCs w:val="20"/>
              </w:rPr>
            </w:pPr>
            <w:r w:rsidRPr="00A82B0D">
              <w:rPr>
                <w:rFonts w:ascii="Arial" w:hAnsi="Arial" w:cs="Arial"/>
                <w:sz w:val="18"/>
                <w:szCs w:val="20"/>
              </w:rPr>
              <w:lastRenderedPageBreak/>
              <w:t>45,87</w:t>
            </w:r>
            <w:r w:rsidR="00D330AF" w:rsidRPr="00A82B0D">
              <w:rPr>
                <w:rFonts w:ascii="Arial" w:hAnsi="Arial" w:cs="Arial"/>
                <w:sz w:val="18"/>
                <w:szCs w:val="20"/>
              </w:rPr>
              <w:t>%</w:t>
            </w:r>
          </w:p>
          <w:p w14:paraId="65BB31D3" w14:textId="36FD5E21" w:rsidR="00907F6D" w:rsidRPr="00A82B0D" w:rsidRDefault="00907F6D" w:rsidP="00795AFA">
            <w:pPr>
              <w:rPr>
                <w:rFonts w:ascii="Arial" w:hAnsi="Arial" w:cs="Arial"/>
                <w:sz w:val="18"/>
                <w:szCs w:val="20"/>
              </w:rPr>
            </w:pP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0DEBC408" w:rsidR="00CF2E64"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p w14:paraId="28CC2493" w14:textId="0E4D0145" w:rsidR="00E9234B" w:rsidRPr="009264CB" w:rsidRDefault="00E9234B" w:rsidP="007F5EDA">
      <w:pPr>
        <w:jc w:val="both"/>
        <w:rPr>
          <w:rFonts w:ascii="Arial" w:hAnsi="Arial" w:cs="Arial"/>
          <w:sz w:val="18"/>
          <w:szCs w:val="20"/>
        </w:rPr>
      </w:pPr>
      <w:r>
        <w:rPr>
          <w:rFonts w:ascii="Arial" w:hAnsi="Arial" w:cs="Arial"/>
          <w:sz w:val="18"/>
          <w:szCs w:val="20"/>
        </w:rPr>
        <w:t xml:space="preserve">UWAGA: W ramach </w:t>
      </w:r>
      <w:r w:rsidRPr="00AD28EC">
        <w:rPr>
          <w:rFonts w:ascii="Arial" w:hAnsi="Arial" w:cs="Arial"/>
          <w:sz w:val="18"/>
          <w:szCs w:val="20"/>
        </w:rPr>
        <w:t>realizacji</w:t>
      </w:r>
      <w:r>
        <w:rPr>
          <w:rFonts w:ascii="Arial" w:hAnsi="Arial" w:cs="Arial"/>
          <w:sz w:val="18"/>
          <w:szCs w:val="20"/>
        </w:rPr>
        <w:t xml:space="preserve"> projektu e-CzasPL </w:t>
      </w:r>
      <w:r w:rsidRPr="00AD28EC">
        <w:rPr>
          <w:rFonts w:ascii="Arial" w:hAnsi="Arial" w:cs="Arial"/>
          <w:sz w:val="18"/>
          <w:szCs w:val="20"/>
        </w:rPr>
        <w:t xml:space="preserve">Główny Urząd Miar zwrócił się do </w:t>
      </w:r>
      <w:r>
        <w:rPr>
          <w:rFonts w:ascii="Arial" w:hAnsi="Arial" w:cs="Arial"/>
          <w:sz w:val="18"/>
          <w:szCs w:val="20"/>
        </w:rPr>
        <w:t>I</w:t>
      </w:r>
      <w:r w:rsidRPr="00AD28EC">
        <w:rPr>
          <w:rFonts w:ascii="Arial" w:hAnsi="Arial" w:cs="Arial"/>
          <w:sz w:val="18"/>
          <w:szCs w:val="20"/>
        </w:rPr>
        <w:t xml:space="preserve">nstytucji Pośredniczącej </w:t>
      </w:r>
      <w:r w:rsidR="007F5EDA">
        <w:rPr>
          <w:rFonts w:ascii="Arial" w:hAnsi="Arial" w:cs="Arial"/>
          <w:sz w:val="18"/>
          <w:szCs w:val="20"/>
        </w:rPr>
        <w:br/>
      </w:r>
      <w:r>
        <w:rPr>
          <w:rFonts w:ascii="Arial" w:hAnsi="Arial" w:cs="Arial"/>
          <w:sz w:val="18"/>
          <w:szCs w:val="20"/>
        </w:rPr>
        <w:t>z prośbą o przesunięcie terminu realizacji projektu. Zgodnie z obowiązującymi przepisami Ustawy COVID-19 termin zakończenia realizacji projektu został przesunięty o 90 dni. Następstwem uzyskania zgody jest konsekwentne przesuniecie terminów osiągniecia wsz</w:t>
      </w:r>
      <w:r w:rsidR="00CC03F2">
        <w:rPr>
          <w:rFonts w:ascii="Arial" w:hAnsi="Arial" w:cs="Arial"/>
          <w:sz w:val="18"/>
          <w:szCs w:val="20"/>
        </w:rPr>
        <w:t>ystkich</w:t>
      </w:r>
      <w:r>
        <w:rPr>
          <w:rFonts w:ascii="Arial" w:hAnsi="Arial" w:cs="Arial"/>
          <w:sz w:val="18"/>
          <w:szCs w:val="20"/>
        </w:rPr>
        <w:t xml:space="preserve"> kamieni milowych w projekcie o 3 miesiące.</w:t>
      </w:r>
    </w:p>
    <w:tbl>
      <w:tblPr>
        <w:tblStyle w:val="Tabela-Siatka"/>
        <w:tblW w:w="9639" w:type="dxa"/>
        <w:tblInd w:w="-5" w:type="dxa"/>
        <w:tblLook w:val="04A0" w:firstRow="1" w:lastRow="0" w:firstColumn="1" w:lastColumn="0" w:noHBand="0" w:noVBand="1"/>
        <w:tblCaption w:val="Kamienie milowe."/>
      </w:tblPr>
      <w:tblGrid>
        <w:gridCol w:w="2410"/>
        <w:gridCol w:w="1224"/>
        <w:gridCol w:w="1328"/>
        <w:gridCol w:w="1417"/>
        <w:gridCol w:w="3260"/>
      </w:tblGrid>
      <w:tr w:rsidR="004350B8" w:rsidRPr="002B50C0" w14:paraId="55961592" w14:textId="77777777" w:rsidTr="00D55883">
        <w:trPr>
          <w:tblHeader/>
        </w:trPr>
        <w:tc>
          <w:tcPr>
            <w:tcW w:w="2410"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224"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328"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417"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3260"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C85AF2" w:rsidRPr="002B50C0" w14:paraId="3B9A3DA2" w14:textId="77777777" w:rsidTr="00D55883">
        <w:tc>
          <w:tcPr>
            <w:tcW w:w="2410" w:type="dxa"/>
          </w:tcPr>
          <w:p w14:paraId="16E25BA3" w14:textId="273B3B4E" w:rsidR="00C85AF2" w:rsidRPr="00141A92" w:rsidRDefault="00C85AF2" w:rsidP="00237279">
            <w:pPr>
              <w:rPr>
                <w:rFonts w:ascii="Arial" w:hAnsi="Arial" w:cs="Arial"/>
                <w:color w:val="0070C0"/>
                <w:sz w:val="18"/>
                <w:szCs w:val="18"/>
              </w:rPr>
            </w:pPr>
            <w:r w:rsidRPr="00AD28EC">
              <w:rPr>
                <w:rFonts w:ascii="Arial" w:hAnsi="Arial" w:cs="Arial"/>
                <w:sz w:val="18"/>
                <w:szCs w:val="20"/>
              </w:rPr>
              <w:t>Zakończenie postępowania przetargowego na specjalistyczny sprzęt do generowania i dystrybucji czasu</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04E241AD" w14:textId="617A5A8A" w:rsidR="006D5034" w:rsidRPr="001E595C" w:rsidRDefault="006D5034" w:rsidP="00935DE6">
            <w:pPr>
              <w:rPr>
                <w:rFonts w:ascii="Arial" w:hAnsi="Arial" w:cs="Arial"/>
                <w:sz w:val="18"/>
                <w:szCs w:val="20"/>
              </w:rPr>
            </w:pPr>
          </w:p>
        </w:tc>
        <w:tc>
          <w:tcPr>
            <w:tcW w:w="1328" w:type="dxa"/>
          </w:tcPr>
          <w:p w14:paraId="76FE4BEE" w14:textId="4026ECDD" w:rsidR="00C85AF2" w:rsidRPr="00AD28EC" w:rsidRDefault="00C85AF2" w:rsidP="00237279">
            <w:pPr>
              <w:rPr>
                <w:rFonts w:ascii="Arial" w:hAnsi="Arial" w:cs="Arial"/>
                <w:sz w:val="18"/>
                <w:szCs w:val="20"/>
              </w:rPr>
            </w:pPr>
            <w:r w:rsidRPr="00AD28EC">
              <w:rPr>
                <w:rFonts w:ascii="Arial" w:hAnsi="Arial" w:cs="Arial"/>
                <w:sz w:val="18"/>
                <w:szCs w:val="20"/>
              </w:rPr>
              <w:t>02-2021</w:t>
            </w:r>
          </w:p>
        </w:tc>
        <w:tc>
          <w:tcPr>
            <w:tcW w:w="1417" w:type="dxa"/>
          </w:tcPr>
          <w:p w14:paraId="14B3F19C" w14:textId="7B24877C" w:rsidR="00C85AF2" w:rsidRPr="00AD28EC" w:rsidRDefault="00CB3907" w:rsidP="00237279">
            <w:pPr>
              <w:pStyle w:val="Akapitzlist"/>
              <w:ind w:left="7"/>
              <w:rPr>
                <w:rFonts w:ascii="Arial" w:hAnsi="Arial" w:cs="Arial"/>
                <w:sz w:val="18"/>
                <w:szCs w:val="20"/>
              </w:rPr>
            </w:pPr>
            <w:r>
              <w:rPr>
                <w:rFonts w:ascii="Arial" w:hAnsi="Arial" w:cs="Arial"/>
                <w:sz w:val="18"/>
                <w:szCs w:val="20"/>
              </w:rPr>
              <w:t>03</w:t>
            </w:r>
            <w:r w:rsidR="00935DE6">
              <w:rPr>
                <w:rFonts w:ascii="Arial" w:hAnsi="Arial" w:cs="Arial"/>
                <w:sz w:val="18"/>
                <w:szCs w:val="20"/>
              </w:rPr>
              <w:t>-</w:t>
            </w:r>
            <w:r>
              <w:rPr>
                <w:rFonts w:ascii="Arial" w:hAnsi="Arial" w:cs="Arial"/>
                <w:sz w:val="18"/>
                <w:szCs w:val="20"/>
              </w:rPr>
              <w:t>2021</w:t>
            </w:r>
          </w:p>
        </w:tc>
        <w:tc>
          <w:tcPr>
            <w:tcW w:w="3260" w:type="dxa"/>
            <w:vAlign w:val="center"/>
          </w:tcPr>
          <w:p w14:paraId="1C55D941" w14:textId="77777777" w:rsidR="00B700FB" w:rsidRDefault="00B700FB" w:rsidP="00507548">
            <w:pPr>
              <w:jc w:val="both"/>
              <w:rPr>
                <w:rFonts w:ascii="Arial" w:hAnsi="Arial" w:cs="Arial"/>
                <w:sz w:val="18"/>
                <w:szCs w:val="20"/>
              </w:rPr>
            </w:pPr>
            <w:r>
              <w:rPr>
                <w:rFonts w:ascii="Arial" w:hAnsi="Arial" w:cs="Arial"/>
                <w:sz w:val="18"/>
                <w:szCs w:val="20"/>
              </w:rPr>
              <w:t>Osiągnięty</w:t>
            </w:r>
          </w:p>
          <w:p w14:paraId="0584BEF3" w14:textId="04D28C1D" w:rsidR="00CB3907" w:rsidRDefault="008466BF" w:rsidP="00507548">
            <w:pPr>
              <w:jc w:val="both"/>
              <w:rPr>
                <w:rFonts w:ascii="Arial" w:hAnsi="Arial" w:cs="Arial"/>
                <w:sz w:val="18"/>
                <w:szCs w:val="20"/>
              </w:rPr>
            </w:pPr>
            <w:r>
              <w:rPr>
                <w:rFonts w:ascii="Arial" w:hAnsi="Arial" w:cs="Arial"/>
                <w:sz w:val="18"/>
                <w:szCs w:val="20"/>
              </w:rPr>
              <w:t xml:space="preserve">31.12.2020 </w:t>
            </w:r>
            <w:r w:rsidR="001B4C59">
              <w:rPr>
                <w:rFonts w:ascii="Arial" w:hAnsi="Arial" w:cs="Arial"/>
                <w:sz w:val="18"/>
                <w:szCs w:val="20"/>
              </w:rPr>
              <w:t>opublikowano</w:t>
            </w:r>
            <w:r>
              <w:rPr>
                <w:rFonts w:ascii="Arial" w:hAnsi="Arial" w:cs="Arial"/>
                <w:sz w:val="18"/>
                <w:szCs w:val="20"/>
              </w:rPr>
              <w:t xml:space="preserve"> </w:t>
            </w:r>
            <w:r w:rsidR="001B4C59">
              <w:rPr>
                <w:rFonts w:ascii="Arial" w:hAnsi="Arial" w:cs="Arial"/>
                <w:sz w:val="18"/>
                <w:szCs w:val="20"/>
              </w:rPr>
              <w:t xml:space="preserve">dokumentację </w:t>
            </w:r>
            <w:r w:rsidR="00407B0B">
              <w:rPr>
                <w:rFonts w:ascii="Arial" w:hAnsi="Arial" w:cs="Arial"/>
                <w:sz w:val="18"/>
                <w:szCs w:val="20"/>
              </w:rPr>
              <w:t>związaną z zamówieniem publicznym</w:t>
            </w:r>
            <w:r>
              <w:rPr>
                <w:rFonts w:ascii="Arial" w:hAnsi="Arial" w:cs="Arial"/>
                <w:sz w:val="18"/>
                <w:szCs w:val="20"/>
              </w:rPr>
              <w:t xml:space="preserve"> na </w:t>
            </w:r>
            <w:r w:rsidRPr="008466BF">
              <w:rPr>
                <w:rFonts w:ascii="Arial" w:hAnsi="Arial" w:cs="Arial"/>
                <w:sz w:val="18"/>
                <w:szCs w:val="20"/>
              </w:rPr>
              <w:t>Dostaw</w:t>
            </w:r>
            <w:r>
              <w:rPr>
                <w:rFonts w:ascii="Arial" w:hAnsi="Arial" w:cs="Arial"/>
                <w:sz w:val="18"/>
                <w:szCs w:val="20"/>
              </w:rPr>
              <w:t>ę</w:t>
            </w:r>
            <w:r w:rsidRPr="008466BF">
              <w:rPr>
                <w:rFonts w:ascii="Arial" w:hAnsi="Arial" w:cs="Arial"/>
                <w:sz w:val="18"/>
                <w:szCs w:val="20"/>
              </w:rPr>
              <w:t xml:space="preserve"> infrastruktury specjalistycznej – aktywnego masera wodorowego, atomowych wzorców częstotliwości (zegarów), precyzyjnego przesuwnika częstotliwości, dystrybutorów częstotliwości.</w:t>
            </w:r>
          </w:p>
          <w:p w14:paraId="6BBE1344" w14:textId="77777777" w:rsidR="00A3378C" w:rsidRDefault="00A3378C" w:rsidP="00507548">
            <w:pPr>
              <w:jc w:val="both"/>
              <w:rPr>
                <w:rFonts w:ascii="Arial" w:hAnsi="Arial" w:cs="Arial"/>
                <w:sz w:val="18"/>
                <w:szCs w:val="20"/>
              </w:rPr>
            </w:pPr>
          </w:p>
          <w:p w14:paraId="5648A2CC" w14:textId="65E2CFFF" w:rsidR="00CB3907" w:rsidRPr="00AD28EC" w:rsidRDefault="00CB3907" w:rsidP="00507548">
            <w:pPr>
              <w:jc w:val="both"/>
              <w:rPr>
                <w:rFonts w:ascii="Arial" w:hAnsi="Arial" w:cs="Arial"/>
                <w:sz w:val="18"/>
                <w:szCs w:val="20"/>
              </w:rPr>
            </w:pPr>
            <w:r w:rsidRPr="00CB3907">
              <w:rPr>
                <w:rFonts w:ascii="Arial" w:hAnsi="Arial" w:cs="Arial"/>
                <w:sz w:val="18"/>
                <w:szCs w:val="20"/>
              </w:rPr>
              <w:t>Zamawiający</w:t>
            </w:r>
            <w:r>
              <w:rPr>
                <w:rFonts w:ascii="Arial" w:hAnsi="Arial" w:cs="Arial"/>
                <w:sz w:val="18"/>
                <w:szCs w:val="20"/>
              </w:rPr>
              <w:t xml:space="preserve"> (GUM)</w:t>
            </w:r>
            <w:r w:rsidRPr="00CB3907">
              <w:rPr>
                <w:rFonts w:ascii="Arial" w:hAnsi="Arial" w:cs="Arial"/>
                <w:sz w:val="18"/>
                <w:szCs w:val="20"/>
              </w:rPr>
              <w:t>, działając na podstawie</w:t>
            </w:r>
            <w:r>
              <w:rPr>
                <w:rFonts w:ascii="Arial" w:hAnsi="Arial" w:cs="Arial"/>
                <w:sz w:val="18"/>
                <w:szCs w:val="20"/>
              </w:rPr>
              <w:t xml:space="preserve"> ustawy</w:t>
            </w:r>
            <w:r w:rsidRPr="00CB3907">
              <w:rPr>
                <w:rFonts w:ascii="Arial" w:hAnsi="Arial" w:cs="Arial"/>
                <w:sz w:val="18"/>
                <w:szCs w:val="20"/>
              </w:rPr>
              <w:t xml:space="preserve"> Prawo zamówień publicznych, dokonał czynności wyboru oferty najkorzystniejszej w przedmiotowym postępowaniu</w:t>
            </w:r>
            <w:r>
              <w:rPr>
                <w:rFonts w:ascii="Arial" w:hAnsi="Arial" w:cs="Arial"/>
                <w:sz w:val="18"/>
                <w:szCs w:val="20"/>
              </w:rPr>
              <w:t xml:space="preserve"> i w dniu 10.03.2021 r. na portalu zamówieniowym zostały ogłoszone wyniki</w:t>
            </w:r>
            <w:r w:rsidR="0044425F">
              <w:rPr>
                <w:rFonts w:ascii="Arial" w:hAnsi="Arial" w:cs="Arial"/>
                <w:sz w:val="18"/>
                <w:szCs w:val="20"/>
              </w:rPr>
              <w:t xml:space="preserve"> przetargu nieograniczonego na dostawę</w:t>
            </w:r>
            <w:r w:rsidRPr="00CB3907">
              <w:rPr>
                <w:rFonts w:ascii="Arial" w:hAnsi="Arial" w:cs="Arial"/>
                <w:sz w:val="18"/>
                <w:szCs w:val="20"/>
              </w:rPr>
              <w:t xml:space="preserve"> infrastruktury specjalistycznej – aktywnego masera wodorowego, atomowych wzorców częstotliwości (zegarów), precyzyjnego przesuwnika częstotliwości, dystrybutorów częstotliwości.</w:t>
            </w:r>
            <w:r w:rsidR="0044425F">
              <w:rPr>
                <w:rFonts w:ascii="Arial" w:hAnsi="Arial" w:cs="Arial"/>
                <w:sz w:val="18"/>
                <w:szCs w:val="20"/>
              </w:rPr>
              <w:t xml:space="preserve"> Dla każdej z części zamówienia wybrano najkorzystniejsze oferty spełniającą wszystkie wymogi techniczne </w:t>
            </w:r>
            <w:r w:rsidR="00507548">
              <w:rPr>
                <w:rFonts w:ascii="Arial" w:hAnsi="Arial" w:cs="Arial"/>
                <w:sz w:val="18"/>
                <w:szCs w:val="20"/>
              </w:rPr>
              <w:br/>
            </w:r>
            <w:r w:rsidR="0044425F">
              <w:rPr>
                <w:rFonts w:ascii="Arial" w:hAnsi="Arial" w:cs="Arial"/>
                <w:sz w:val="18"/>
                <w:szCs w:val="20"/>
              </w:rPr>
              <w:t>i kryteria przetargowe.</w:t>
            </w:r>
            <w:r w:rsidR="000E283E">
              <w:rPr>
                <w:rFonts w:ascii="Arial" w:hAnsi="Arial" w:cs="Arial"/>
                <w:sz w:val="18"/>
                <w:szCs w:val="20"/>
              </w:rPr>
              <w:t xml:space="preserve"> Umowy z wykonawcami zostały podpisane.</w:t>
            </w:r>
          </w:p>
        </w:tc>
      </w:tr>
      <w:tr w:rsidR="00C85AF2" w:rsidRPr="002B50C0" w14:paraId="510AD042" w14:textId="77777777" w:rsidTr="00D55883">
        <w:tc>
          <w:tcPr>
            <w:tcW w:w="2410" w:type="dxa"/>
          </w:tcPr>
          <w:p w14:paraId="0B502785" w14:textId="33BB78F3" w:rsidR="00C85AF2" w:rsidRPr="00AD28EC" w:rsidRDefault="00C85AF2" w:rsidP="00237279">
            <w:pPr>
              <w:rPr>
                <w:rFonts w:ascii="Arial" w:hAnsi="Arial" w:cs="Arial"/>
                <w:sz w:val="18"/>
                <w:szCs w:val="20"/>
              </w:rPr>
            </w:pPr>
            <w:r w:rsidRPr="008F5402">
              <w:rPr>
                <w:rFonts w:ascii="Arial" w:hAnsi="Arial" w:cs="Arial"/>
                <w:sz w:val="18"/>
                <w:szCs w:val="20"/>
              </w:rPr>
              <w:t>Zakończenie procedury wyboru wykonawcy Systemu Dystrybucji Czasu za pomocą kodowanych sygnałów radiowych</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D08C3E1" w14:textId="652C24EE" w:rsidR="00C85AF2" w:rsidRPr="001E595C" w:rsidRDefault="00C85AF2" w:rsidP="00237279">
            <w:pPr>
              <w:rPr>
                <w:rFonts w:ascii="Arial" w:hAnsi="Arial" w:cs="Arial"/>
                <w:sz w:val="18"/>
                <w:szCs w:val="20"/>
              </w:rPr>
            </w:pPr>
          </w:p>
        </w:tc>
        <w:tc>
          <w:tcPr>
            <w:tcW w:w="1328" w:type="dxa"/>
          </w:tcPr>
          <w:p w14:paraId="744F48CE" w14:textId="2852E63F" w:rsidR="00C85AF2" w:rsidRPr="00AD28EC" w:rsidRDefault="00C85AF2" w:rsidP="00237279">
            <w:pPr>
              <w:rPr>
                <w:rFonts w:ascii="Arial" w:hAnsi="Arial" w:cs="Arial"/>
                <w:sz w:val="18"/>
                <w:szCs w:val="20"/>
              </w:rPr>
            </w:pPr>
            <w:r>
              <w:rPr>
                <w:rFonts w:ascii="Arial" w:hAnsi="Arial" w:cs="Arial"/>
                <w:sz w:val="18"/>
                <w:szCs w:val="20"/>
              </w:rPr>
              <w:t>04-2021</w:t>
            </w:r>
          </w:p>
        </w:tc>
        <w:tc>
          <w:tcPr>
            <w:tcW w:w="1417" w:type="dxa"/>
          </w:tcPr>
          <w:p w14:paraId="20A8FE46" w14:textId="511E0B4F" w:rsidR="00C85AF2" w:rsidRPr="00AD28EC" w:rsidRDefault="00C85AF2" w:rsidP="00237279">
            <w:pPr>
              <w:pStyle w:val="Akapitzlist"/>
              <w:ind w:left="7"/>
              <w:rPr>
                <w:rFonts w:ascii="Arial" w:hAnsi="Arial" w:cs="Arial"/>
                <w:sz w:val="18"/>
                <w:szCs w:val="20"/>
              </w:rPr>
            </w:pPr>
            <w:r w:rsidRPr="00AD28EC">
              <w:rPr>
                <w:rFonts w:ascii="Arial" w:hAnsi="Arial" w:cs="Arial"/>
                <w:sz w:val="18"/>
                <w:szCs w:val="20"/>
              </w:rPr>
              <w:t>Nie dotyczy</w:t>
            </w:r>
          </w:p>
        </w:tc>
        <w:tc>
          <w:tcPr>
            <w:tcW w:w="3260" w:type="dxa"/>
          </w:tcPr>
          <w:p w14:paraId="0C7A8FCD" w14:textId="77777777" w:rsidR="00DA534C" w:rsidRDefault="00DA534C" w:rsidP="00507548">
            <w:pPr>
              <w:jc w:val="both"/>
              <w:rPr>
                <w:rFonts w:ascii="Arial" w:hAnsi="Arial" w:cs="Arial"/>
                <w:sz w:val="18"/>
                <w:szCs w:val="20"/>
              </w:rPr>
            </w:pPr>
            <w:r>
              <w:rPr>
                <w:rFonts w:ascii="Arial" w:hAnsi="Arial" w:cs="Arial"/>
                <w:sz w:val="18"/>
                <w:szCs w:val="20"/>
              </w:rPr>
              <w:t>W realizacji</w:t>
            </w:r>
          </w:p>
          <w:p w14:paraId="0A1BAE3C" w14:textId="134FDD1C" w:rsidR="005A6505" w:rsidRDefault="005C094D" w:rsidP="005C094D">
            <w:pPr>
              <w:jc w:val="both"/>
              <w:rPr>
                <w:rFonts w:ascii="Arial" w:hAnsi="Arial" w:cs="Arial"/>
                <w:sz w:val="18"/>
                <w:szCs w:val="20"/>
              </w:rPr>
            </w:pPr>
            <w:r w:rsidRPr="005C094D">
              <w:rPr>
                <w:rFonts w:ascii="Arial" w:hAnsi="Arial" w:cs="Arial"/>
                <w:sz w:val="18"/>
                <w:szCs w:val="20"/>
              </w:rPr>
              <w:t xml:space="preserve">We wrześniu 2020 r. uruchomiono Dialog Techniczny zgodnie z założeniami harmonogramu realizacji projektu. </w:t>
            </w:r>
            <w:r w:rsidR="005A6505" w:rsidRPr="005A6505">
              <w:rPr>
                <w:rFonts w:ascii="Arial" w:hAnsi="Arial" w:cs="Arial"/>
                <w:sz w:val="18"/>
                <w:szCs w:val="20"/>
              </w:rPr>
              <w:t xml:space="preserve">W trakcie trwania okresu sprawozdawczego zakończono Dialog Techniczny prowadzony w zakresie merytorycznym obejmującym kluczowe zamówienia realizowane w ramach </w:t>
            </w:r>
            <w:r w:rsidR="005A6505">
              <w:rPr>
                <w:rFonts w:ascii="Arial" w:hAnsi="Arial" w:cs="Arial"/>
                <w:sz w:val="18"/>
                <w:szCs w:val="20"/>
              </w:rPr>
              <w:t>przedmiotowego zamówienia</w:t>
            </w:r>
            <w:r w:rsidR="005A6505" w:rsidRPr="005A6505">
              <w:rPr>
                <w:rFonts w:ascii="Arial" w:hAnsi="Arial" w:cs="Arial"/>
                <w:sz w:val="18"/>
                <w:szCs w:val="20"/>
              </w:rPr>
              <w:t xml:space="preserve"> (28 grudnia opublikowano protokół). Sfinalizowano również dokumentację zamówieniową w 2 zakresach kluczowych dla projektu, tj. zamówień na usługę zaprojektowania, wykonania, testów i dostawy: a) dedykowanego </w:t>
            </w:r>
            <w:r w:rsidR="005A6505" w:rsidRPr="005A6505">
              <w:rPr>
                <w:rFonts w:ascii="Arial" w:hAnsi="Arial" w:cs="Arial"/>
                <w:sz w:val="18"/>
                <w:szCs w:val="20"/>
              </w:rPr>
              <w:lastRenderedPageBreak/>
              <w:t xml:space="preserve">sprzętu (modulatora) wraz z oprogramowaniem dedykowanym dla systemu dystrybucji kodowanych cyfrowych sygnałów czasu na falach długich, przy wykorzystaniu fali nośnej 225 kHz; b) modułu odbiorczego (demodulatora) kodowanych sygnałów czasu urzędowego na fali nośnej 225 kHz Programu Pierwszego Polskiego Radia oraz opracowania kompletnej dokumentacji technicznej, z opisem procesu wytworzenia dla Zestandaryzowanego Odbiornika kodowanych sygnałów czasu urzędowego. Zamówienie publiczne w </w:t>
            </w:r>
            <w:proofErr w:type="spellStart"/>
            <w:r w:rsidR="005A6505" w:rsidRPr="005A6505">
              <w:rPr>
                <w:rFonts w:ascii="Arial" w:hAnsi="Arial" w:cs="Arial"/>
                <w:sz w:val="18"/>
                <w:szCs w:val="20"/>
              </w:rPr>
              <w:t>częsci</w:t>
            </w:r>
            <w:proofErr w:type="spellEnd"/>
            <w:r w:rsidR="005A6505" w:rsidRPr="005A6505">
              <w:rPr>
                <w:rFonts w:ascii="Arial" w:hAnsi="Arial" w:cs="Arial"/>
                <w:sz w:val="18"/>
                <w:szCs w:val="20"/>
              </w:rPr>
              <w:t xml:space="preserve"> a) zostało ogłoszone w grudniu 2021 r, natomiast zaproszenie do składania ofert na zamówienie w części b) będzie ogłoszone w styczniu 2022. Opis działań zaradczych i przyczyny opóźnienia przedstawiono w zadaniu nr 2.</w:t>
            </w:r>
          </w:p>
          <w:p w14:paraId="026C9610" w14:textId="77777777" w:rsidR="005A6505" w:rsidRDefault="005A6505" w:rsidP="005C094D">
            <w:pPr>
              <w:jc w:val="both"/>
              <w:rPr>
                <w:rFonts w:ascii="Arial" w:hAnsi="Arial" w:cs="Arial"/>
                <w:sz w:val="18"/>
                <w:szCs w:val="20"/>
              </w:rPr>
            </w:pPr>
          </w:p>
          <w:p w14:paraId="598BDACD" w14:textId="4AC81717" w:rsidR="005C094D" w:rsidRDefault="005C094D" w:rsidP="005C094D">
            <w:pPr>
              <w:jc w:val="both"/>
              <w:rPr>
                <w:rFonts w:ascii="Arial" w:hAnsi="Arial" w:cs="Arial"/>
                <w:sz w:val="18"/>
                <w:szCs w:val="20"/>
              </w:rPr>
            </w:pPr>
            <w:r w:rsidRPr="005C094D">
              <w:rPr>
                <w:rFonts w:ascii="Arial" w:hAnsi="Arial" w:cs="Arial"/>
                <w:sz w:val="18"/>
                <w:szCs w:val="20"/>
              </w:rPr>
              <w:t>Niezależnie od działań w ramach dialogu, kadra merytoryczna skupia się na przeprowadzaniu ustaleń i procedowaniu szczegółów technicznych uzgodnień z kluczowymi interesariuszami, którzy mają wpływ na uruchomienie usługi. Wśród interesariuszy, z którymi dokonywano ustaleń technicznych należy wymienić w szczególności należy wymienić pracowników i operatorów Radiowego Centrum Nadawczego w Solcu Kujawskim, współpracujących z Polskie Radio S.A. operatorów systemów nadawania dodatkowych sygnałów nakładanych na falę nośną 225 kHz Programu 1 Polskiego Radia, potencjalnych producentów sprzętu który może służyć do odbioru sygnałów czasu, podmioty zainteresowane wykorzystaniem sygnałów czasu w istniejącej infrastrukturze, podmioty centralnej Administracji Publicznej, które wyraziły zainteresowanie udziałem w definiowaniu parametrów technicznych emitowanych kodowanych sygnałów czasu.</w:t>
            </w:r>
          </w:p>
          <w:p w14:paraId="792A9C07" w14:textId="77777777" w:rsidR="005A6505" w:rsidRPr="005C094D" w:rsidRDefault="005A6505" w:rsidP="005C094D">
            <w:pPr>
              <w:jc w:val="both"/>
              <w:rPr>
                <w:rFonts w:ascii="Arial" w:hAnsi="Arial" w:cs="Arial"/>
                <w:sz w:val="18"/>
                <w:szCs w:val="20"/>
              </w:rPr>
            </w:pPr>
          </w:p>
          <w:p w14:paraId="6555D565" w14:textId="77777777" w:rsidR="005C094D" w:rsidRPr="005C094D" w:rsidRDefault="005C094D" w:rsidP="005C094D">
            <w:pPr>
              <w:jc w:val="both"/>
              <w:rPr>
                <w:rFonts w:ascii="Arial" w:hAnsi="Arial" w:cs="Arial"/>
                <w:sz w:val="18"/>
                <w:szCs w:val="20"/>
              </w:rPr>
            </w:pPr>
            <w:r w:rsidRPr="005C094D">
              <w:rPr>
                <w:rFonts w:ascii="Arial" w:hAnsi="Arial" w:cs="Arial"/>
                <w:sz w:val="18"/>
                <w:szCs w:val="20"/>
              </w:rPr>
              <w:t xml:space="preserve">PRZYCZYNY OPÓŹNIENIA. </w:t>
            </w:r>
          </w:p>
          <w:p w14:paraId="636109BC" w14:textId="77777777" w:rsidR="00C948F8" w:rsidRDefault="005C094D" w:rsidP="005C094D">
            <w:pPr>
              <w:jc w:val="both"/>
              <w:rPr>
                <w:rFonts w:ascii="Arial" w:hAnsi="Arial" w:cs="Arial"/>
                <w:sz w:val="18"/>
                <w:szCs w:val="20"/>
              </w:rPr>
            </w:pPr>
            <w:r w:rsidRPr="005C094D">
              <w:rPr>
                <w:rFonts w:ascii="Arial" w:hAnsi="Arial" w:cs="Arial"/>
                <w:sz w:val="18"/>
                <w:szCs w:val="20"/>
              </w:rPr>
              <w:t>Beneficjent już na samym początku realizacji projektu, tj. w kwietniu 2020 r. zidentyfikował problemy wynikające z wprowadzenia stanu epidemii na niedługo przed podpisaniem Porozumienia o dofinansowanie. Realizacja tak złożonego projektu polegającego na wdrażaniu technologicznych i nietypowych rozwiązań (np. budowa klastra wydajnościowego serwerów NTP, budowa systemu dystrybucji kodowanych sygnałów czasu na falach radiowych długich) ściśle zależy od swobody prowadzenia dialogu technicznego i nieograniczonego dostępu do ekspertów z branży (analiza infrastruktury, testy i badania sprzętu na miejscu itp.). Te działania są niezwykle utrudnione w czasie pandemii, bowiem zdecydowana większość z nich nie jest możliwa do prowadzenia w trybie zdalnym. Należy zauważyć, że projekt rozpoczął się w początkowym, najtrudniejszym okresie pandemii. M.in. z uwagi na wyjątkowy charakter zaistniałych w wyniku pandemii okoliczności eksperci, których zaangażowanie było konieczne do efektywnego prowadzenia dialogów technicznych (tj. np. Eksperta ds. Serwerów NTP, Eksperta ds. Radiowych, Eksperta ds. UX), faktycznie rozpoczęli pracę dopiero w październiku 2020 r. Mając na uwadze, iż projekt e-CzasPL jest projektem, którego główna część zależy od prac koncepcyjnych, badań i analiz sprzętu na miejscu, poprawne zdefiniowanie założeń dot. nabywanej infrastruktury i zamawianych usług (np. programistycznych) było zależne m.in. od dostępu do ekspertów, których zaangażowanie było przewidziane w dokumentacji aplikacyjnej oraz od możliwości swobodnego prowadzenia dialogu technicznego. Stan epidemii uniemożliwiał  prowadzenie ww. prac w ramach projektu, czego efektem jest przedmiotowe opóźnienie, niezależne od Beneficjenta.</w:t>
            </w:r>
          </w:p>
          <w:p w14:paraId="39D0D9AF" w14:textId="77777777" w:rsidR="005C094D" w:rsidRDefault="005C094D" w:rsidP="005C094D">
            <w:pPr>
              <w:jc w:val="both"/>
              <w:rPr>
                <w:rFonts w:ascii="Arial" w:hAnsi="Arial" w:cs="Arial"/>
                <w:sz w:val="18"/>
                <w:szCs w:val="20"/>
              </w:rPr>
            </w:pPr>
            <w:r>
              <w:rPr>
                <w:rFonts w:ascii="Arial" w:hAnsi="Arial" w:cs="Arial"/>
                <w:sz w:val="18"/>
                <w:szCs w:val="20"/>
              </w:rPr>
              <w:t>DZIAŁANIA ZARADCZE</w:t>
            </w:r>
          </w:p>
          <w:p w14:paraId="02135B36" w14:textId="5A68CF8E" w:rsidR="00141771" w:rsidRDefault="005C094D" w:rsidP="005C094D">
            <w:pPr>
              <w:jc w:val="both"/>
              <w:rPr>
                <w:rFonts w:ascii="Arial" w:hAnsi="Arial" w:cs="Arial"/>
                <w:sz w:val="18"/>
                <w:szCs w:val="20"/>
              </w:rPr>
            </w:pPr>
            <w:r w:rsidRPr="005C094D">
              <w:rPr>
                <w:rFonts w:ascii="Arial" w:hAnsi="Arial" w:cs="Arial"/>
                <w:sz w:val="18"/>
                <w:szCs w:val="20"/>
              </w:rPr>
              <w:t xml:space="preserve">Na dzień złożenia niniejszego dokumentu, w ramach dialogu technicznego zostały zdefiniowane wszystkie wymogi techniczne dotyczące części sprzętowej i software’owej przedmiotu zamówienia. Dokonano też wszystkich koniecznych na tym etapie ustaleń z kluczowymi interesariuszami powiązanymi z uruchamianą usługą. </w:t>
            </w:r>
            <w:r w:rsidR="005A6505">
              <w:rPr>
                <w:rFonts w:ascii="Arial" w:hAnsi="Arial" w:cs="Arial"/>
                <w:sz w:val="18"/>
                <w:szCs w:val="20"/>
              </w:rPr>
              <w:t>Aktualnie jedno z kluczowych zamówień zostało ogłoszone i 17 stycznia 2022r. planowane jest otw</w:t>
            </w:r>
            <w:r w:rsidR="00F6503C">
              <w:rPr>
                <w:rFonts w:ascii="Arial" w:hAnsi="Arial" w:cs="Arial"/>
                <w:sz w:val="18"/>
                <w:szCs w:val="20"/>
              </w:rPr>
              <w:t>ar</w:t>
            </w:r>
            <w:r w:rsidR="005A6505">
              <w:rPr>
                <w:rFonts w:ascii="Arial" w:hAnsi="Arial" w:cs="Arial"/>
                <w:sz w:val="18"/>
                <w:szCs w:val="20"/>
              </w:rPr>
              <w:t xml:space="preserve">cie ofert, natomiast drugie </w:t>
            </w:r>
            <w:r w:rsidR="00F6503C">
              <w:rPr>
                <w:rFonts w:ascii="Arial" w:hAnsi="Arial" w:cs="Arial"/>
                <w:sz w:val="18"/>
                <w:szCs w:val="20"/>
              </w:rPr>
              <w:t>zamówienie publiczne (poza ustawą PZP) zostanie ogłoszone w stycznia 2022r.</w:t>
            </w:r>
            <w:r w:rsidR="005A6505">
              <w:rPr>
                <w:rFonts w:ascii="Arial" w:hAnsi="Arial" w:cs="Arial"/>
                <w:sz w:val="18"/>
                <w:szCs w:val="20"/>
              </w:rPr>
              <w:t>.</w:t>
            </w:r>
          </w:p>
          <w:p w14:paraId="18704B8C" w14:textId="77777777" w:rsidR="005A6505" w:rsidRDefault="005A6505" w:rsidP="005C094D">
            <w:pPr>
              <w:jc w:val="both"/>
              <w:rPr>
                <w:rFonts w:ascii="Arial" w:hAnsi="Arial" w:cs="Arial"/>
                <w:sz w:val="18"/>
                <w:szCs w:val="20"/>
              </w:rPr>
            </w:pPr>
          </w:p>
          <w:p w14:paraId="21E9399B" w14:textId="5AC14055" w:rsidR="001A37B1" w:rsidRDefault="001A37B1" w:rsidP="005C094D">
            <w:pPr>
              <w:jc w:val="both"/>
              <w:rPr>
                <w:rFonts w:ascii="Arial" w:hAnsi="Arial" w:cs="Arial"/>
                <w:sz w:val="18"/>
                <w:szCs w:val="20"/>
              </w:rPr>
            </w:pPr>
            <w:r w:rsidRPr="001A37B1">
              <w:rPr>
                <w:rFonts w:ascii="Arial" w:hAnsi="Arial" w:cs="Arial"/>
                <w:sz w:val="18"/>
                <w:szCs w:val="20"/>
              </w:rPr>
              <w:t xml:space="preserve">Prace koncepcyjne, ustalenia w zakresie najbardziej optymalnych technik i technologii dopuszczalnych podczas realizacji zamówienia oraz inne działania, które można uznać za wstępne opracowywanie nowopowstałych systemów, realizowane w tej części projektu w ramach dialogów technicznych oraz w ramach działań podejmowanych przez kadrę projektu poza tymi dialogami, pozwolą na przyśpieszenie prac, które musiałyby być wykonane po wyborze wykonawców zamówień. Dlatego opóźnienie w uruchamianiu zamówień publicznych zaistniałe obecnie, może być częściowo zniwelowane poprzez skrócenie czasu realizacji umów. Dodatkowo przez merytoryczną kadrę projektu uruchomione zostały wdrożenia pilotażowe roboczych „demonstratorów” docelowych usług cyfrowych projektu (usługa PTP i system autentykacji serwerów czasu), o których mowa </w:t>
            </w:r>
            <w:r>
              <w:rPr>
                <w:rFonts w:ascii="Arial" w:hAnsi="Arial" w:cs="Arial"/>
                <w:sz w:val="18"/>
                <w:szCs w:val="20"/>
              </w:rPr>
              <w:t>wcześniej.</w:t>
            </w:r>
          </w:p>
          <w:p w14:paraId="42CDED1F" w14:textId="710E9BD8" w:rsidR="001A37B1" w:rsidRDefault="001A37B1" w:rsidP="005C094D">
            <w:pPr>
              <w:jc w:val="both"/>
              <w:rPr>
                <w:rFonts w:ascii="Arial" w:hAnsi="Arial" w:cs="Arial"/>
                <w:sz w:val="18"/>
                <w:szCs w:val="20"/>
              </w:rPr>
            </w:pPr>
          </w:p>
          <w:p w14:paraId="0E2F8B97" w14:textId="6350E621" w:rsidR="00F6503C" w:rsidRPr="00AD28EC" w:rsidRDefault="001A37B1" w:rsidP="005C094D">
            <w:pPr>
              <w:jc w:val="both"/>
              <w:rPr>
                <w:rFonts w:ascii="Arial" w:hAnsi="Arial" w:cs="Arial"/>
                <w:sz w:val="18"/>
                <w:szCs w:val="20"/>
              </w:rPr>
            </w:pPr>
            <w:r>
              <w:rPr>
                <w:rFonts w:ascii="Arial" w:hAnsi="Arial" w:cs="Arial"/>
                <w:sz w:val="18"/>
                <w:szCs w:val="20"/>
              </w:rPr>
              <w:t>Dlatego mając na względzie powyższe oraz</w:t>
            </w:r>
            <w:r w:rsidR="005C094D" w:rsidRPr="005C094D">
              <w:rPr>
                <w:rFonts w:ascii="Arial" w:hAnsi="Arial" w:cs="Arial"/>
                <w:sz w:val="18"/>
                <w:szCs w:val="20"/>
              </w:rPr>
              <w:t xml:space="preserve"> mając na względzie wyjątkowy charakter zaistniałych okoliczności</w:t>
            </w:r>
            <w:r w:rsidR="00141771">
              <w:rPr>
                <w:rFonts w:ascii="Arial" w:hAnsi="Arial" w:cs="Arial"/>
                <w:sz w:val="18"/>
                <w:szCs w:val="20"/>
              </w:rPr>
              <w:t xml:space="preserve"> oraz fakt, iż duża część pracy z późniejszych etapów jest realizowana w tej fazie projektu</w:t>
            </w:r>
            <w:r w:rsidR="005C094D" w:rsidRPr="005C094D">
              <w:rPr>
                <w:rFonts w:ascii="Arial" w:hAnsi="Arial" w:cs="Arial"/>
                <w:sz w:val="18"/>
                <w:szCs w:val="20"/>
              </w:rPr>
              <w:t xml:space="preserve">, </w:t>
            </w:r>
            <w:r w:rsidR="00F6503C" w:rsidRPr="00F6503C">
              <w:rPr>
                <w:rFonts w:ascii="Arial" w:hAnsi="Arial" w:cs="Arial"/>
                <w:sz w:val="18"/>
                <w:szCs w:val="20"/>
              </w:rPr>
              <w:t>Beneficjent aktualnie analizuje najbardziej optymalny dla projektu wariant przesunięcia terminów realizacji kamieni milowych, co w najbliższym okresie będzie skutkowało pismem skierowanym do CPPC stanowiącym wniosek o wprowadzenie zmian w harmonogramie Kamieni Milowych Projektu</w:t>
            </w:r>
            <w:r w:rsidR="00F6503C">
              <w:rPr>
                <w:rFonts w:ascii="Arial" w:hAnsi="Arial" w:cs="Arial"/>
                <w:sz w:val="18"/>
                <w:szCs w:val="20"/>
              </w:rPr>
              <w:t>.</w:t>
            </w:r>
          </w:p>
        </w:tc>
      </w:tr>
      <w:tr w:rsidR="00C85AF2" w:rsidRPr="002B50C0" w14:paraId="67B64372" w14:textId="77777777" w:rsidTr="00D55883">
        <w:tc>
          <w:tcPr>
            <w:tcW w:w="2410" w:type="dxa"/>
          </w:tcPr>
          <w:p w14:paraId="49B52026" w14:textId="5C00921D" w:rsidR="00C85AF2" w:rsidRPr="00AD28EC" w:rsidRDefault="00C85AF2" w:rsidP="008F5402">
            <w:pPr>
              <w:rPr>
                <w:rFonts w:ascii="Arial" w:hAnsi="Arial" w:cs="Arial"/>
                <w:sz w:val="18"/>
                <w:szCs w:val="20"/>
              </w:rPr>
            </w:pPr>
            <w:r w:rsidRPr="008F5402">
              <w:rPr>
                <w:rFonts w:ascii="Arial" w:hAnsi="Arial" w:cs="Arial"/>
                <w:sz w:val="18"/>
                <w:szCs w:val="20"/>
              </w:rPr>
              <w:lastRenderedPageBreak/>
              <w:t>Zakup i instalacja Infrastruktury sieciowo-serwerowej</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10251BC" w14:textId="2B8868FA" w:rsidR="006D5034" w:rsidRDefault="006D5034" w:rsidP="006D5034">
            <w:pPr>
              <w:rPr>
                <w:rFonts w:ascii="Arial" w:hAnsi="Arial" w:cs="Arial"/>
                <w:sz w:val="18"/>
                <w:szCs w:val="20"/>
              </w:rPr>
            </w:pPr>
            <w:r>
              <w:rPr>
                <w:rFonts w:ascii="Arial" w:hAnsi="Arial" w:cs="Arial"/>
                <w:sz w:val="18"/>
                <w:szCs w:val="20"/>
              </w:rPr>
              <w:t>KPI2</w:t>
            </w:r>
            <w:r w:rsidR="00207BF2">
              <w:rPr>
                <w:rFonts w:ascii="Arial" w:hAnsi="Arial" w:cs="Arial"/>
                <w:sz w:val="18"/>
                <w:szCs w:val="20"/>
              </w:rPr>
              <w:t xml:space="preserve"> </w:t>
            </w:r>
            <w:r>
              <w:rPr>
                <w:rFonts w:ascii="Arial" w:hAnsi="Arial" w:cs="Arial"/>
                <w:sz w:val="18"/>
                <w:szCs w:val="20"/>
              </w:rPr>
              <w:t>(10)</w:t>
            </w:r>
          </w:p>
          <w:p w14:paraId="635C3899" w14:textId="013E1F67" w:rsidR="001E595C" w:rsidRDefault="001E595C" w:rsidP="001E595C">
            <w:pPr>
              <w:rPr>
                <w:rFonts w:ascii="Arial" w:hAnsi="Arial" w:cs="Arial"/>
                <w:sz w:val="18"/>
                <w:szCs w:val="20"/>
              </w:rPr>
            </w:pPr>
            <w:r>
              <w:rPr>
                <w:rFonts w:ascii="Arial" w:hAnsi="Arial" w:cs="Arial"/>
                <w:sz w:val="18"/>
                <w:szCs w:val="20"/>
              </w:rPr>
              <w:t>KPI4</w:t>
            </w:r>
            <w:r w:rsidR="008B4E0D">
              <w:rPr>
                <w:rFonts w:ascii="Arial" w:hAnsi="Arial" w:cs="Arial"/>
                <w:sz w:val="18"/>
                <w:szCs w:val="20"/>
              </w:rPr>
              <w:t xml:space="preserve"> (3)</w:t>
            </w:r>
          </w:p>
          <w:p w14:paraId="63F439DE" w14:textId="4030AD4E" w:rsidR="001E595C" w:rsidRDefault="001E595C" w:rsidP="001E595C">
            <w:pPr>
              <w:rPr>
                <w:rFonts w:ascii="Arial" w:hAnsi="Arial" w:cs="Arial"/>
                <w:sz w:val="18"/>
                <w:szCs w:val="20"/>
              </w:rPr>
            </w:pPr>
            <w:r>
              <w:rPr>
                <w:rFonts w:ascii="Arial" w:hAnsi="Arial" w:cs="Arial"/>
                <w:sz w:val="18"/>
                <w:szCs w:val="20"/>
              </w:rPr>
              <w:t>KPI5</w:t>
            </w:r>
            <w:r w:rsidR="008B4E0D">
              <w:rPr>
                <w:rFonts w:ascii="Arial" w:hAnsi="Arial" w:cs="Arial"/>
                <w:sz w:val="18"/>
                <w:szCs w:val="20"/>
              </w:rPr>
              <w:t xml:space="preserve"> (3)</w:t>
            </w:r>
          </w:p>
          <w:p w14:paraId="1D50905B" w14:textId="2B3012BE" w:rsidR="006D5034" w:rsidRDefault="006D5034" w:rsidP="006D5034">
            <w:pPr>
              <w:rPr>
                <w:rFonts w:ascii="Arial" w:hAnsi="Arial" w:cs="Arial"/>
                <w:sz w:val="18"/>
                <w:szCs w:val="20"/>
              </w:rPr>
            </w:pPr>
            <w:r>
              <w:rPr>
                <w:rFonts w:ascii="Arial" w:hAnsi="Arial" w:cs="Arial"/>
                <w:sz w:val="18"/>
                <w:szCs w:val="20"/>
              </w:rPr>
              <w:t>KPI7</w:t>
            </w:r>
            <w:r w:rsidR="00207BF2">
              <w:rPr>
                <w:rFonts w:ascii="Arial" w:hAnsi="Arial" w:cs="Arial"/>
                <w:sz w:val="18"/>
                <w:szCs w:val="20"/>
              </w:rPr>
              <w:t xml:space="preserve"> </w:t>
            </w:r>
            <w:r>
              <w:rPr>
                <w:rFonts w:ascii="Arial" w:hAnsi="Arial" w:cs="Arial"/>
                <w:sz w:val="18"/>
                <w:szCs w:val="20"/>
              </w:rPr>
              <w:t>(3,2)</w:t>
            </w:r>
          </w:p>
          <w:p w14:paraId="449F3157" w14:textId="77777777" w:rsidR="00C85AF2" w:rsidRPr="001E595C" w:rsidRDefault="00C85AF2" w:rsidP="008F5402">
            <w:pPr>
              <w:rPr>
                <w:rFonts w:ascii="Arial" w:hAnsi="Arial" w:cs="Arial"/>
                <w:sz w:val="18"/>
                <w:szCs w:val="20"/>
              </w:rPr>
            </w:pPr>
          </w:p>
        </w:tc>
        <w:tc>
          <w:tcPr>
            <w:tcW w:w="1328" w:type="dxa"/>
          </w:tcPr>
          <w:p w14:paraId="2A34A0C9" w14:textId="6708E919" w:rsidR="00C85AF2" w:rsidRPr="00AD28EC" w:rsidRDefault="00C85AF2" w:rsidP="008F5402">
            <w:pPr>
              <w:rPr>
                <w:rFonts w:ascii="Arial" w:hAnsi="Arial" w:cs="Arial"/>
                <w:sz w:val="18"/>
                <w:szCs w:val="20"/>
              </w:rPr>
            </w:pPr>
            <w:r>
              <w:rPr>
                <w:rFonts w:ascii="Arial" w:hAnsi="Arial" w:cs="Arial"/>
                <w:sz w:val="18"/>
                <w:szCs w:val="20"/>
              </w:rPr>
              <w:t>09-2021</w:t>
            </w:r>
          </w:p>
        </w:tc>
        <w:tc>
          <w:tcPr>
            <w:tcW w:w="1417" w:type="dxa"/>
          </w:tcPr>
          <w:p w14:paraId="4009121E" w14:textId="357A6372" w:rsidR="00C85AF2" w:rsidRPr="00AD28EC" w:rsidRDefault="00C85AF2" w:rsidP="008F5402">
            <w:pPr>
              <w:pStyle w:val="Akapitzlist"/>
              <w:ind w:left="7"/>
              <w:rPr>
                <w:rFonts w:ascii="Arial" w:hAnsi="Arial" w:cs="Arial"/>
                <w:sz w:val="18"/>
                <w:szCs w:val="20"/>
              </w:rPr>
            </w:pPr>
            <w:r w:rsidRPr="00B11F20">
              <w:t>Nie dotyczy</w:t>
            </w:r>
          </w:p>
        </w:tc>
        <w:tc>
          <w:tcPr>
            <w:tcW w:w="3260" w:type="dxa"/>
          </w:tcPr>
          <w:p w14:paraId="648C831C" w14:textId="77777777" w:rsidR="00DA534C" w:rsidRDefault="00DA534C" w:rsidP="00507548">
            <w:pPr>
              <w:jc w:val="both"/>
              <w:rPr>
                <w:rFonts w:ascii="Arial" w:hAnsi="Arial" w:cs="Arial"/>
                <w:sz w:val="18"/>
                <w:szCs w:val="20"/>
              </w:rPr>
            </w:pPr>
            <w:r>
              <w:rPr>
                <w:rFonts w:ascii="Arial" w:hAnsi="Arial" w:cs="Arial"/>
                <w:sz w:val="18"/>
                <w:szCs w:val="20"/>
              </w:rPr>
              <w:t>W realizacji</w:t>
            </w:r>
          </w:p>
          <w:p w14:paraId="482B2AC9" w14:textId="77777777" w:rsidR="00C85AF2" w:rsidRDefault="00CC03F2" w:rsidP="00507548">
            <w:pPr>
              <w:jc w:val="both"/>
              <w:rPr>
                <w:rFonts w:ascii="Arial" w:hAnsi="Arial" w:cs="Arial"/>
                <w:sz w:val="18"/>
                <w:szCs w:val="20"/>
              </w:rPr>
            </w:pPr>
            <w:r>
              <w:rPr>
                <w:rFonts w:ascii="Arial" w:hAnsi="Arial" w:cs="Arial"/>
                <w:sz w:val="18"/>
                <w:szCs w:val="20"/>
              </w:rPr>
              <w:t xml:space="preserve">We </w:t>
            </w:r>
            <w:r w:rsidRPr="00C948F8">
              <w:rPr>
                <w:rFonts w:ascii="Arial" w:hAnsi="Arial" w:cs="Arial"/>
                <w:sz w:val="18"/>
                <w:szCs w:val="20"/>
              </w:rPr>
              <w:t>wrześni</w:t>
            </w:r>
            <w:r>
              <w:rPr>
                <w:rFonts w:ascii="Arial" w:hAnsi="Arial" w:cs="Arial"/>
                <w:sz w:val="18"/>
                <w:szCs w:val="20"/>
              </w:rPr>
              <w:t>u</w:t>
            </w:r>
            <w:r w:rsidRPr="00C948F8">
              <w:rPr>
                <w:rFonts w:ascii="Arial" w:hAnsi="Arial" w:cs="Arial"/>
                <w:sz w:val="18"/>
                <w:szCs w:val="20"/>
              </w:rPr>
              <w:t xml:space="preserve"> </w:t>
            </w:r>
            <w:r w:rsidR="00407B0B">
              <w:rPr>
                <w:rFonts w:ascii="Arial" w:hAnsi="Arial" w:cs="Arial"/>
                <w:sz w:val="18"/>
                <w:szCs w:val="20"/>
              </w:rPr>
              <w:t xml:space="preserve">2020 r. </w:t>
            </w:r>
            <w:r w:rsidRPr="00C948F8">
              <w:rPr>
                <w:rFonts w:ascii="Arial" w:hAnsi="Arial" w:cs="Arial"/>
                <w:sz w:val="18"/>
                <w:szCs w:val="20"/>
              </w:rPr>
              <w:t>uruchomiono Dialog Techniczny</w:t>
            </w:r>
            <w:r w:rsidR="00407B0B">
              <w:rPr>
                <w:rFonts w:ascii="Arial" w:hAnsi="Arial" w:cs="Arial"/>
                <w:sz w:val="18"/>
                <w:szCs w:val="20"/>
              </w:rPr>
              <w:t xml:space="preserve"> prowadzony równolegle do dialogu związanego z częścią radiową. </w:t>
            </w:r>
            <w:r w:rsidR="00407B0B" w:rsidRPr="00407B0B">
              <w:rPr>
                <w:rFonts w:ascii="Arial" w:hAnsi="Arial" w:cs="Arial"/>
                <w:sz w:val="18"/>
                <w:szCs w:val="20"/>
              </w:rPr>
              <w:t xml:space="preserve">W ramach dialogu finalizowany jest szczegółowy opis specyfikacji technicznej przedmiotu zamówienia oraz opracowywane są warunki realizacji zamówienia, które będą ujęte w projekcie umowy. Niezależnie od dialogu technicznego kadra merytoryczna przystąpiła do pilotażowego uruchomienia wersji testowej usługi dystrybucji czasu z wykorzystaniem techniki PTP we </w:t>
            </w:r>
            <w:r w:rsidR="00E019FD" w:rsidRPr="00407B0B">
              <w:rPr>
                <w:rFonts w:ascii="Arial" w:hAnsi="Arial" w:cs="Arial"/>
                <w:sz w:val="18"/>
                <w:szCs w:val="20"/>
              </w:rPr>
              <w:t>współpracy</w:t>
            </w:r>
            <w:r w:rsidR="00407B0B" w:rsidRPr="00407B0B">
              <w:rPr>
                <w:rFonts w:ascii="Arial" w:hAnsi="Arial" w:cs="Arial"/>
                <w:sz w:val="18"/>
                <w:szCs w:val="20"/>
              </w:rPr>
              <w:t xml:space="preserve"> z 2 potencjalnymi użytkownikami usług docelowych. Przeprowadzenie pilotażu pozwoli lepiej technicznie przygotować się do właściwej realizacji usług i pozwoli odpowiednio zabezpieczyć się przed potencjalnymi problemami technicznymi z wykorzystaniem docelowej infrastruktury i oprogramowania.</w:t>
            </w:r>
          </w:p>
          <w:p w14:paraId="3708CD3C" w14:textId="6F7922D9" w:rsidR="001A37B1" w:rsidRPr="00AD28EC" w:rsidRDefault="001A37B1" w:rsidP="00507548">
            <w:pPr>
              <w:jc w:val="both"/>
              <w:rPr>
                <w:rFonts w:ascii="Arial" w:hAnsi="Arial" w:cs="Arial"/>
                <w:sz w:val="18"/>
                <w:szCs w:val="20"/>
              </w:rPr>
            </w:pPr>
            <w:r>
              <w:rPr>
                <w:rFonts w:ascii="Arial" w:hAnsi="Arial" w:cs="Arial"/>
                <w:sz w:val="18"/>
                <w:szCs w:val="20"/>
              </w:rPr>
              <w:t>Przyczyny opóźnienia i działania zaradcze zostały opisane w części dotyczącej kamienia milowego nr 2.</w:t>
            </w:r>
          </w:p>
        </w:tc>
      </w:tr>
      <w:tr w:rsidR="00C85AF2" w:rsidRPr="002B50C0" w14:paraId="4A27863C" w14:textId="77777777" w:rsidTr="00D55883">
        <w:tc>
          <w:tcPr>
            <w:tcW w:w="2410" w:type="dxa"/>
          </w:tcPr>
          <w:p w14:paraId="0E4FCA1E" w14:textId="3E90615D" w:rsidR="00C85AF2" w:rsidRPr="00AD28EC" w:rsidRDefault="00C85AF2" w:rsidP="008F5402">
            <w:pPr>
              <w:rPr>
                <w:rFonts w:ascii="Arial" w:hAnsi="Arial" w:cs="Arial"/>
                <w:sz w:val="18"/>
                <w:szCs w:val="20"/>
              </w:rPr>
            </w:pPr>
            <w:r w:rsidRPr="008F5402">
              <w:rPr>
                <w:rFonts w:ascii="Arial" w:hAnsi="Arial" w:cs="Arial"/>
                <w:sz w:val="18"/>
                <w:szCs w:val="20"/>
              </w:rPr>
              <w:t>Zakończenie testów i końcowy odbiór Systemu Usługi PTP</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609876A" w14:textId="77777777" w:rsidR="00C85AF2" w:rsidRPr="001E595C" w:rsidRDefault="00C85AF2" w:rsidP="001E595C">
            <w:pPr>
              <w:rPr>
                <w:rFonts w:ascii="Arial" w:hAnsi="Arial" w:cs="Arial"/>
                <w:sz w:val="18"/>
                <w:szCs w:val="20"/>
              </w:rPr>
            </w:pPr>
          </w:p>
        </w:tc>
        <w:tc>
          <w:tcPr>
            <w:tcW w:w="1328" w:type="dxa"/>
          </w:tcPr>
          <w:p w14:paraId="569CAEEB" w14:textId="7116B041" w:rsidR="00C85AF2" w:rsidRPr="00AD28EC" w:rsidRDefault="00C85AF2" w:rsidP="008F5402">
            <w:pPr>
              <w:rPr>
                <w:rFonts w:ascii="Arial" w:hAnsi="Arial" w:cs="Arial"/>
                <w:sz w:val="18"/>
                <w:szCs w:val="20"/>
              </w:rPr>
            </w:pPr>
            <w:r>
              <w:rPr>
                <w:rFonts w:ascii="Arial" w:hAnsi="Arial" w:cs="Arial"/>
                <w:sz w:val="18"/>
                <w:szCs w:val="20"/>
              </w:rPr>
              <w:t>06-2022</w:t>
            </w:r>
          </w:p>
        </w:tc>
        <w:tc>
          <w:tcPr>
            <w:tcW w:w="1417" w:type="dxa"/>
          </w:tcPr>
          <w:p w14:paraId="53EF5D2A" w14:textId="200F6CB1" w:rsidR="00C85AF2" w:rsidRPr="00AD28EC" w:rsidRDefault="00C85AF2" w:rsidP="008F5402">
            <w:pPr>
              <w:pStyle w:val="Akapitzlist"/>
              <w:ind w:left="7"/>
              <w:rPr>
                <w:rFonts w:ascii="Arial" w:hAnsi="Arial" w:cs="Arial"/>
                <w:sz w:val="18"/>
                <w:szCs w:val="20"/>
              </w:rPr>
            </w:pPr>
            <w:r w:rsidRPr="006E681C">
              <w:t>Nie dotyczy</w:t>
            </w:r>
          </w:p>
        </w:tc>
        <w:tc>
          <w:tcPr>
            <w:tcW w:w="3260" w:type="dxa"/>
          </w:tcPr>
          <w:p w14:paraId="20D5EE66" w14:textId="7C0CEDCF" w:rsidR="00C85AF2" w:rsidRPr="00AD28EC" w:rsidRDefault="00A17AD3" w:rsidP="00DA534C">
            <w:pPr>
              <w:rPr>
                <w:rFonts w:ascii="Arial" w:hAnsi="Arial" w:cs="Arial"/>
                <w:sz w:val="18"/>
                <w:szCs w:val="20"/>
              </w:rPr>
            </w:pPr>
            <w:r>
              <w:rPr>
                <w:rFonts w:ascii="Arial" w:hAnsi="Arial" w:cs="Arial"/>
                <w:sz w:val="18"/>
                <w:szCs w:val="20"/>
              </w:rPr>
              <w:t>Planowany</w:t>
            </w:r>
          </w:p>
        </w:tc>
      </w:tr>
      <w:tr w:rsidR="00C85AF2" w:rsidRPr="002B50C0" w14:paraId="390EF177" w14:textId="77777777" w:rsidTr="00D55883">
        <w:tc>
          <w:tcPr>
            <w:tcW w:w="2410" w:type="dxa"/>
          </w:tcPr>
          <w:p w14:paraId="18903CFB" w14:textId="01058C2E" w:rsidR="00C85AF2" w:rsidRPr="00AD28EC" w:rsidRDefault="00C85AF2" w:rsidP="008F5402">
            <w:pPr>
              <w:rPr>
                <w:rFonts w:ascii="Arial" w:hAnsi="Arial" w:cs="Arial"/>
                <w:sz w:val="18"/>
                <w:szCs w:val="20"/>
              </w:rPr>
            </w:pPr>
            <w:r w:rsidRPr="008F5402">
              <w:rPr>
                <w:rFonts w:ascii="Arial" w:hAnsi="Arial" w:cs="Arial"/>
                <w:sz w:val="18"/>
                <w:szCs w:val="20"/>
              </w:rPr>
              <w:t>Uruchomienie Systemu serwerów NTP jako klastra wydajnościowego</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7080354F" w14:textId="77777777" w:rsidR="00C85AF2" w:rsidRPr="001E595C" w:rsidRDefault="00C85AF2" w:rsidP="008F5402">
            <w:pPr>
              <w:rPr>
                <w:rFonts w:ascii="Arial" w:hAnsi="Arial" w:cs="Arial"/>
                <w:sz w:val="18"/>
                <w:szCs w:val="20"/>
              </w:rPr>
            </w:pPr>
          </w:p>
        </w:tc>
        <w:tc>
          <w:tcPr>
            <w:tcW w:w="1328" w:type="dxa"/>
          </w:tcPr>
          <w:p w14:paraId="018A0686" w14:textId="6ADF58BC" w:rsidR="00C85AF2" w:rsidRPr="00AD28EC" w:rsidRDefault="00C85AF2" w:rsidP="008F5402">
            <w:pPr>
              <w:rPr>
                <w:rFonts w:ascii="Arial" w:hAnsi="Arial" w:cs="Arial"/>
                <w:sz w:val="18"/>
                <w:szCs w:val="20"/>
              </w:rPr>
            </w:pPr>
            <w:r>
              <w:rPr>
                <w:rFonts w:ascii="Arial" w:hAnsi="Arial" w:cs="Arial"/>
                <w:sz w:val="18"/>
                <w:szCs w:val="20"/>
              </w:rPr>
              <w:t>10-2022</w:t>
            </w:r>
          </w:p>
        </w:tc>
        <w:tc>
          <w:tcPr>
            <w:tcW w:w="1417" w:type="dxa"/>
          </w:tcPr>
          <w:p w14:paraId="2728E8AC" w14:textId="7AD3C720" w:rsidR="00C85AF2" w:rsidRPr="00AD28EC" w:rsidRDefault="00C85AF2" w:rsidP="008F5402">
            <w:pPr>
              <w:pStyle w:val="Akapitzlist"/>
              <w:ind w:left="7"/>
              <w:rPr>
                <w:rFonts w:ascii="Arial" w:hAnsi="Arial" w:cs="Arial"/>
                <w:sz w:val="18"/>
                <w:szCs w:val="20"/>
              </w:rPr>
            </w:pPr>
            <w:r w:rsidRPr="0031595E">
              <w:t>Nie dotyczy</w:t>
            </w:r>
          </w:p>
        </w:tc>
        <w:tc>
          <w:tcPr>
            <w:tcW w:w="3260" w:type="dxa"/>
          </w:tcPr>
          <w:p w14:paraId="6772C57B" w14:textId="4F02AB25" w:rsidR="00C85AF2" w:rsidRPr="00AD28EC" w:rsidRDefault="00A17AD3" w:rsidP="00DA534C">
            <w:pPr>
              <w:rPr>
                <w:rFonts w:ascii="Arial" w:hAnsi="Arial" w:cs="Arial"/>
                <w:sz w:val="18"/>
                <w:szCs w:val="20"/>
              </w:rPr>
            </w:pPr>
            <w:r>
              <w:rPr>
                <w:rFonts w:ascii="Arial" w:hAnsi="Arial" w:cs="Arial"/>
                <w:sz w:val="18"/>
                <w:szCs w:val="20"/>
              </w:rPr>
              <w:t>Planowany</w:t>
            </w:r>
          </w:p>
        </w:tc>
      </w:tr>
      <w:tr w:rsidR="00C85AF2" w:rsidRPr="002B50C0" w14:paraId="462317A1" w14:textId="77777777" w:rsidTr="00D55883">
        <w:tc>
          <w:tcPr>
            <w:tcW w:w="2410" w:type="dxa"/>
          </w:tcPr>
          <w:p w14:paraId="326CF537" w14:textId="35BDCCFD" w:rsidR="00C85AF2" w:rsidRPr="00AD28EC" w:rsidRDefault="00C85AF2" w:rsidP="008F5402">
            <w:pPr>
              <w:rPr>
                <w:rFonts w:ascii="Arial" w:hAnsi="Arial" w:cs="Arial"/>
                <w:sz w:val="18"/>
                <w:szCs w:val="20"/>
              </w:rPr>
            </w:pPr>
            <w:r w:rsidRPr="008F5402">
              <w:rPr>
                <w:rFonts w:ascii="Arial" w:hAnsi="Arial" w:cs="Arial"/>
                <w:sz w:val="18"/>
                <w:szCs w:val="20"/>
              </w:rPr>
              <w:t>Zakończenie testów specjalistycznego dodatkowego sprzętu dla procesów związanych z generowaniem skali czasu</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9080C89" w14:textId="77777777" w:rsidR="00C85AF2" w:rsidRPr="001E595C" w:rsidRDefault="00C85AF2" w:rsidP="008F5402">
            <w:pPr>
              <w:rPr>
                <w:rFonts w:ascii="Arial" w:hAnsi="Arial" w:cs="Arial"/>
                <w:sz w:val="18"/>
                <w:szCs w:val="20"/>
              </w:rPr>
            </w:pPr>
          </w:p>
        </w:tc>
        <w:tc>
          <w:tcPr>
            <w:tcW w:w="1328" w:type="dxa"/>
          </w:tcPr>
          <w:p w14:paraId="64D5972B" w14:textId="12EA4A8C" w:rsidR="00C85AF2" w:rsidRPr="00AD28EC" w:rsidRDefault="00C85AF2" w:rsidP="008F5402">
            <w:pPr>
              <w:rPr>
                <w:rFonts w:ascii="Arial" w:hAnsi="Arial" w:cs="Arial"/>
                <w:sz w:val="18"/>
                <w:szCs w:val="20"/>
              </w:rPr>
            </w:pPr>
            <w:r>
              <w:rPr>
                <w:rFonts w:ascii="Arial" w:hAnsi="Arial" w:cs="Arial"/>
                <w:sz w:val="18"/>
                <w:szCs w:val="20"/>
              </w:rPr>
              <w:t>02-2023</w:t>
            </w:r>
          </w:p>
        </w:tc>
        <w:tc>
          <w:tcPr>
            <w:tcW w:w="1417" w:type="dxa"/>
          </w:tcPr>
          <w:p w14:paraId="71153DAF" w14:textId="524C754B" w:rsidR="00C85AF2" w:rsidRPr="00AD28EC" w:rsidRDefault="00C85AF2" w:rsidP="008F5402">
            <w:pPr>
              <w:pStyle w:val="Akapitzlist"/>
              <w:ind w:left="7"/>
              <w:rPr>
                <w:rFonts w:ascii="Arial" w:hAnsi="Arial" w:cs="Arial"/>
                <w:sz w:val="18"/>
                <w:szCs w:val="20"/>
              </w:rPr>
            </w:pPr>
            <w:r w:rsidRPr="00A213BD">
              <w:t>Nie dotyczy</w:t>
            </w:r>
          </w:p>
        </w:tc>
        <w:tc>
          <w:tcPr>
            <w:tcW w:w="3260" w:type="dxa"/>
          </w:tcPr>
          <w:p w14:paraId="56EC6672" w14:textId="3B091B92" w:rsidR="00C85AF2" w:rsidRPr="00AD28EC" w:rsidRDefault="00A17AD3" w:rsidP="00DA534C">
            <w:pPr>
              <w:rPr>
                <w:rFonts w:ascii="Arial" w:hAnsi="Arial" w:cs="Arial"/>
                <w:sz w:val="18"/>
                <w:szCs w:val="20"/>
              </w:rPr>
            </w:pPr>
            <w:r>
              <w:rPr>
                <w:rFonts w:ascii="Arial" w:hAnsi="Arial" w:cs="Arial"/>
                <w:sz w:val="18"/>
                <w:szCs w:val="20"/>
              </w:rPr>
              <w:t>Planowany</w:t>
            </w:r>
          </w:p>
        </w:tc>
      </w:tr>
      <w:tr w:rsidR="00C85AF2" w:rsidRPr="002B50C0" w14:paraId="2D2650E9" w14:textId="77777777" w:rsidTr="00D55883">
        <w:tc>
          <w:tcPr>
            <w:tcW w:w="2410" w:type="dxa"/>
          </w:tcPr>
          <w:p w14:paraId="6EC47971" w14:textId="38637EB9" w:rsidR="00C85AF2" w:rsidRPr="00AD28EC" w:rsidRDefault="00C85AF2" w:rsidP="008F5402">
            <w:pPr>
              <w:rPr>
                <w:rFonts w:ascii="Arial" w:hAnsi="Arial" w:cs="Arial"/>
                <w:sz w:val="18"/>
                <w:szCs w:val="20"/>
              </w:rPr>
            </w:pPr>
            <w:r w:rsidRPr="008F5402">
              <w:rPr>
                <w:rFonts w:ascii="Arial" w:hAnsi="Arial" w:cs="Arial"/>
                <w:sz w:val="18"/>
                <w:szCs w:val="20"/>
              </w:rPr>
              <w:t>Odbiór wielosystemowej aplikacji na potrzeby synchronizacji urządzeń (bezpłatna, do pobrania przez użytkowników)</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0273E049" w14:textId="77777777" w:rsidR="00C85AF2" w:rsidRPr="001E595C" w:rsidRDefault="00C85AF2" w:rsidP="00935DE6">
            <w:pPr>
              <w:rPr>
                <w:rFonts w:ascii="Arial" w:hAnsi="Arial" w:cs="Arial"/>
                <w:sz w:val="18"/>
                <w:szCs w:val="20"/>
              </w:rPr>
            </w:pPr>
          </w:p>
        </w:tc>
        <w:tc>
          <w:tcPr>
            <w:tcW w:w="1328" w:type="dxa"/>
          </w:tcPr>
          <w:p w14:paraId="32700A4A" w14:textId="18055F06" w:rsidR="00C85AF2" w:rsidRPr="00AD28EC" w:rsidRDefault="00C85AF2" w:rsidP="008F5402">
            <w:pPr>
              <w:rPr>
                <w:rFonts w:ascii="Arial" w:hAnsi="Arial" w:cs="Arial"/>
                <w:sz w:val="18"/>
                <w:szCs w:val="20"/>
              </w:rPr>
            </w:pPr>
            <w:r>
              <w:rPr>
                <w:rFonts w:ascii="Arial" w:hAnsi="Arial" w:cs="Arial"/>
                <w:sz w:val="18"/>
                <w:szCs w:val="20"/>
              </w:rPr>
              <w:t>04-2023</w:t>
            </w:r>
          </w:p>
        </w:tc>
        <w:tc>
          <w:tcPr>
            <w:tcW w:w="1417" w:type="dxa"/>
          </w:tcPr>
          <w:p w14:paraId="0F479473" w14:textId="4B58D1B1" w:rsidR="00C85AF2" w:rsidRPr="00AD28EC" w:rsidRDefault="00C85AF2" w:rsidP="008F5402">
            <w:pPr>
              <w:pStyle w:val="Akapitzlist"/>
              <w:ind w:left="7"/>
              <w:rPr>
                <w:rFonts w:ascii="Arial" w:hAnsi="Arial" w:cs="Arial"/>
                <w:sz w:val="18"/>
                <w:szCs w:val="20"/>
              </w:rPr>
            </w:pPr>
            <w:r w:rsidRPr="00D84ED6">
              <w:t>Nie dotyczy</w:t>
            </w:r>
          </w:p>
        </w:tc>
        <w:tc>
          <w:tcPr>
            <w:tcW w:w="3260" w:type="dxa"/>
          </w:tcPr>
          <w:p w14:paraId="4816C8E8" w14:textId="543B8867" w:rsidR="00C85AF2" w:rsidRPr="00AD28EC" w:rsidRDefault="00A17AD3" w:rsidP="00DA534C">
            <w:pPr>
              <w:rPr>
                <w:rFonts w:ascii="Arial" w:hAnsi="Arial" w:cs="Arial"/>
                <w:sz w:val="18"/>
                <w:szCs w:val="20"/>
              </w:rPr>
            </w:pPr>
            <w:r>
              <w:rPr>
                <w:rFonts w:ascii="Arial" w:hAnsi="Arial" w:cs="Arial"/>
                <w:sz w:val="18"/>
                <w:szCs w:val="20"/>
              </w:rPr>
              <w:t>Planowany</w:t>
            </w:r>
          </w:p>
        </w:tc>
      </w:tr>
      <w:tr w:rsidR="00C85AF2" w:rsidRPr="002B50C0" w14:paraId="7D68F752" w14:textId="77777777" w:rsidTr="00D55883">
        <w:tc>
          <w:tcPr>
            <w:tcW w:w="2410" w:type="dxa"/>
          </w:tcPr>
          <w:p w14:paraId="54C03CCE" w14:textId="7B294338" w:rsidR="00C85AF2" w:rsidRPr="00AD28EC" w:rsidRDefault="00C85AF2" w:rsidP="008F5402">
            <w:pPr>
              <w:rPr>
                <w:rFonts w:ascii="Arial" w:hAnsi="Arial" w:cs="Arial"/>
                <w:sz w:val="18"/>
                <w:szCs w:val="20"/>
              </w:rPr>
            </w:pPr>
            <w:r w:rsidRPr="008F5402">
              <w:rPr>
                <w:rFonts w:ascii="Arial" w:hAnsi="Arial" w:cs="Arial"/>
                <w:sz w:val="18"/>
                <w:szCs w:val="20"/>
              </w:rPr>
              <w:t>Zakończenie testów wszystkich funkcjonalności usług projektu e-CzasPL, odbiór Portalu Czasu Urzędowego wraz z wielosystemową aplikacją synchronizująca</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3C3339F" w14:textId="721146E7" w:rsidR="001E595C" w:rsidRDefault="001E595C" w:rsidP="001E595C">
            <w:pPr>
              <w:rPr>
                <w:rFonts w:ascii="Arial" w:hAnsi="Arial" w:cs="Arial"/>
                <w:sz w:val="18"/>
                <w:szCs w:val="20"/>
              </w:rPr>
            </w:pPr>
            <w:r>
              <w:rPr>
                <w:rFonts w:ascii="Arial" w:hAnsi="Arial" w:cs="Arial"/>
                <w:sz w:val="18"/>
                <w:szCs w:val="20"/>
              </w:rPr>
              <w:t>KPI1</w:t>
            </w:r>
            <w:r w:rsidR="008B4E0D">
              <w:rPr>
                <w:rFonts w:ascii="Arial" w:hAnsi="Arial" w:cs="Arial"/>
                <w:sz w:val="18"/>
                <w:szCs w:val="20"/>
              </w:rPr>
              <w:t xml:space="preserve"> </w:t>
            </w:r>
            <w:r>
              <w:rPr>
                <w:rFonts w:ascii="Arial" w:hAnsi="Arial" w:cs="Arial"/>
                <w:sz w:val="18"/>
                <w:szCs w:val="20"/>
              </w:rPr>
              <w:t>(1)</w:t>
            </w:r>
          </w:p>
          <w:p w14:paraId="10355882" w14:textId="4C773FD4" w:rsidR="001E595C" w:rsidRDefault="001E595C" w:rsidP="001E595C">
            <w:pPr>
              <w:rPr>
                <w:rFonts w:ascii="Arial" w:hAnsi="Arial" w:cs="Arial"/>
                <w:sz w:val="18"/>
                <w:szCs w:val="20"/>
              </w:rPr>
            </w:pPr>
            <w:r>
              <w:rPr>
                <w:rFonts w:ascii="Arial" w:hAnsi="Arial" w:cs="Arial"/>
                <w:sz w:val="18"/>
                <w:szCs w:val="20"/>
              </w:rPr>
              <w:t>KPI3</w:t>
            </w:r>
            <w:r w:rsidR="008B4E0D">
              <w:rPr>
                <w:rFonts w:ascii="Arial" w:hAnsi="Arial" w:cs="Arial"/>
                <w:sz w:val="18"/>
                <w:szCs w:val="20"/>
              </w:rPr>
              <w:t xml:space="preserve"> </w:t>
            </w:r>
            <w:r>
              <w:rPr>
                <w:rFonts w:ascii="Arial" w:hAnsi="Arial" w:cs="Arial"/>
                <w:sz w:val="18"/>
                <w:szCs w:val="20"/>
              </w:rPr>
              <w:t>(1)</w:t>
            </w:r>
          </w:p>
          <w:p w14:paraId="69913A7B" w14:textId="77777777" w:rsidR="001E595C" w:rsidRPr="001E595C" w:rsidRDefault="001E595C" w:rsidP="001E595C">
            <w:pPr>
              <w:rPr>
                <w:rFonts w:ascii="Arial" w:hAnsi="Arial" w:cs="Arial"/>
                <w:sz w:val="18"/>
                <w:szCs w:val="20"/>
              </w:rPr>
            </w:pPr>
            <w:r w:rsidRPr="001E595C">
              <w:rPr>
                <w:rFonts w:ascii="Arial" w:hAnsi="Arial" w:cs="Arial"/>
                <w:sz w:val="18"/>
                <w:szCs w:val="20"/>
              </w:rPr>
              <w:t>KPI6 (601)</w:t>
            </w:r>
          </w:p>
          <w:p w14:paraId="6DE99C20" w14:textId="77777777" w:rsidR="00C85AF2" w:rsidRPr="001E595C" w:rsidRDefault="00C85AF2" w:rsidP="00935DE6">
            <w:pPr>
              <w:rPr>
                <w:rFonts w:ascii="Arial" w:hAnsi="Arial" w:cs="Arial"/>
                <w:sz w:val="18"/>
                <w:szCs w:val="20"/>
              </w:rPr>
            </w:pPr>
          </w:p>
        </w:tc>
        <w:tc>
          <w:tcPr>
            <w:tcW w:w="1328" w:type="dxa"/>
          </w:tcPr>
          <w:p w14:paraId="36176A0B" w14:textId="7833E29F" w:rsidR="00C85AF2" w:rsidRPr="00AD28EC" w:rsidRDefault="00C85AF2" w:rsidP="008F5402">
            <w:pPr>
              <w:rPr>
                <w:rFonts w:ascii="Arial" w:hAnsi="Arial" w:cs="Arial"/>
                <w:sz w:val="18"/>
                <w:szCs w:val="20"/>
              </w:rPr>
            </w:pPr>
            <w:r>
              <w:rPr>
                <w:rFonts w:ascii="Arial" w:hAnsi="Arial" w:cs="Arial"/>
                <w:sz w:val="18"/>
                <w:szCs w:val="20"/>
              </w:rPr>
              <w:t>04-2023</w:t>
            </w:r>
          </w:p>
        </w:tc>
        <w:tc>
          <w:tcPr>
            <w:tcW w:w="1417" w:type="dxa"/>
          </w:tcPr>
          <w:p w14:paraId="3B4BE98F" w14:textId="6B3F19FD" w:rsidR="00C85AF2" w:rsidRPr="00AD28EC" w:rsidRDefault="00C85AF2" w:rsidP="008F5402">
            <w:pPr>
              <w:pStyle w:val="Akapitzlist"/>
              <w:ind w:left="7"/>
              <w:rPr>
                <w:rFonts w:ascii="Arial" w:hAnsi="Arial" w:cs="Arial"/>
                <w:sz w:val="18"/>
                <w:szCs w:val="20"/>
              </w:rPr>
            </w:pPr>
            <w:r w:rsidRPr="00FB3AA9">
              <w:t>Nie dotyczy</w:t>
            </w:r>
          </w:p>
        </w:tc>
        <w:tc>
          <w:tcPr>
            <w:tcW w:w="3260" w:type="dxa"/>
          </w:tcPr>
          <w:p w14:paraId="6A4BEA50" w14:textId="38AEBC3D" w:rsidR="00C85AF2" w:rsidRPr="00AD28EC" w:rsidRDefault="00A17AD3" w:rsidP="00DA534C">
            <w:pPr>
              <w:rPr>
                <w:rFonts w:ascii="Arial" w:hAnsi="Arial" w:cs="Arial"/>
                <w:sz w:val="18"/>
                <w:szCs w:val="20"/>
              </w:rPr>
            </w:pPr>
            <w:r>
              <w:rPr>
                <w:rFonts w:ascii="Arial" w:hAnsi="Arial" w:cs="Arial"/>
                <w:sz w:val="18"/>
                <w:szCs w:val="20"/>
              </w:rPr>
              <w:t>Planowany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bookmarkStart w:id="0" w:name="_Hlk51588173"/>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14:paraId="060EEE52" w14:textId="77777777" w:rsidTr="00047D9D">
        <w:tc>
          <w:tcPr>
            <w:tcW w:w="2545" w:type="dxa"/>
          </w:tcPr>
          <w:p w14:paraId="7C66D563" w14:textId="0B570657" w:rsidR="006D5034" w:rsidRDefault="006D5034" w:rsidP="00FB4804">
            <w:pPr>
              <w:rPr>
                <w:rFonts w:ascii="Arial" w:hAnsi="Arial" w:cs="Arial"/>
                <w:sz w:val="18"/>
                <w:szCs w:val="20"/>
              </w:rPr>
            </w:pPr>
            <w:r>
              <w:rPr>
                <w:rFonts w:ascii="Arial" w:hAnsi="Arial" w:cs="Arial"/>
                <w:sz w:val="18"/>
                <w:szCs w:val="20"/>
              </w:rPr>
              <w:t>KPI1</w:t>
            </w:r>
          </w:p>
          <w:p w14:paraId="1E5C0CB8" w14:textId="00F61A97" w:rsidR="00FB4804" w:rsidRPr="00FB4804" w:rsidRDefault="00FB4804" w:rsidP="00FB4804">
            <w:pPr>
              <w:rPr>
                <w:rFonts w:ascii="Arial" w:hAnsi="Arial" w:cs="Arial"/>
                <w:sz w:val="18"/>
                <w:szCs w:val="20"/>
              </w:rPr>
            </w:pPr>
            <w:r w:rsidRPr="00FB4804">
              <w:rPr>
                <w:rFonts w:ascii="Arial" w:hAnsi="Arial" w:cs="Arial"/>
                <w:sz w:val="18"/>
                <w:szCs w:val="20"/>
              </w:rPr>
              <w:t>Liczba usług publicznych udostępnionych on-line o stopniu</w:t>
            </w:r>
          </w:p>
          <w:p w14:paraId="0D680A0D" w14:textId="4C60A10C" w:rsidR="009F1DC8" w:rsidRPr="009F1DC8" w:rsidRDefault="00FB4804" w:rsidP="00FB4804">
            <w:pPr>
              <w:rPr>
                <w:rFonts w:ascii="Arial" w:hAnsi="Arial" w:cs="Arial"/>
                <w:color w:val="0070C0"/>
                <w:sz w:val="18"/>
                <w:szCs w:val="18"/>
                <w:lang w:eastAsia="pl-PL"/>
              </w:rPr>
            </w:pPr>
            <w:r w:rsidRPr="00FB4804">
              <w:rPr>
                <w:rFonts w:ascii="Arial" w:hAnsi="Arial" w:cs="Arial"/>
                <w:sz w:val="18"/>
                <w:szCs w:val="20"/>
              </w:rPr>
              <w:t>dojrzałości co najmniej 4 - transakcja</w:t>
            </w:r>
          </w:p>
        </w:tc>
        <w:tc>
          <w:tcPr>
            <w:tcW w:w="1278" w:type="dxa"/>
          </w:tcPr>
          <w:p w14:paraId="6B56475F" w14:textId="1C7F3934" w:rsidR="006A60AA" w:rsidRPr="00E36D70" w:rsidRDefault="00E36D70" w:rsidP="006A60AA">
            <w:pPr>
              <w:rPr>
                <w:rFonts w:ascii="Arial" w:hAnsi="Arial" w:cs="Arial"/>
                <w:sz w:val="18"/>
                <w:szCs w:val="20"/>
              </w:rPr>
            </w:pPr>
            <w:r>
              <w:rPr>
                <w:rFonts w:ascii="Arial" w:hAnsi="Arial" w:cs="Arial"/>
                <w:sz w:val="18"/>
                <w:szCs w:val="20"/>
              </w:rPr>
              <w:t>s</w:t>
            </w:r>
            <w:r w:rsidR="00FB4804" w:rsidRPr="00E36D70">
              <w:rPr>
                <w:rFonts w:ascii="Arial" w:hAnsi="Arial" w:cs="Arial"/>
                <w:sz w:val="18"/>
                <w:szCs w:val="20"/>
              </w:rPr>
              <w:t>zt.</w:t>
            </w:r>
          </w:p>
        </w:tc>
        <w:tc>
          <w:tcPr>
            <w:tcW w:w="1842" w:type="dxa"/>
          </w:tcPr>
          <w:p w14:paraId="67FCFF9F" w14:textId="574117DD" w:rsidR="006A60AA" w:rsidRPr="00E36D70" w:rsidRDefault="00FB4804" w:rsidP="006A60AA">
            <w:pPr>
              <w:rPr>
                <w:rFonts w:ascii="Arial" w:hAnsi="Arial" w:cs="Arial"/>
                <w:sz w:val="18"/>
                <w:szCs w:val="20"/>
              </w:rPr>
            </w:pPr>
            <w:r w:rsidRPr="00E36D70">
              <w:rPr>
                <w:rFonts w:ascii="Arial" w:hAnsi="Arial" w:cs="Arial"/>
                <w:sz w:val="18"/>
                <w:szCs w:val="20"/>
              </w:rPr>
              <w:t>1</w:t>
            </w:r>
          </w:p>
        </w:tc>
        <w:tc>
          <w:tcPr>
            <w:tcW w:w="1701" w:type="dxa"/>
          </w:tcPr>
          <w:p w14:paraId="6FE75731" w14:textId="61F1628B" w:rsidR="006A60AA" w:rsidRPr="00E36D70" w:rsidRDefault="001E23A3" w:rsidP="006A60AA">
            <w:pPr>
              <w:rPr>
                <w:rFonts w:ascii="Arial" w:hAnsi="Arial" w:cs="Arial"/>
                <w:sz w:val="18"/>
                <w:szCs w:val="20"/>
              </w:rPr>
            </w:pPr>
            <w:r>
              <w:rPr>
                <w:rFonts w:ascii="Arial" w:hAnsi="Arial" w:cs="Arial"/>
                <w:sz w:val="18"/>
                <w:szCs w:val="20"/>
              </w:rPr>
              <w:t>04-2023</w:t>
            </w:r>
          </w:p>
        </w:tc>
        <w:tc>
          <w:tcPr>
            <w:tcW w:w="2268" w:type="dxa"/>
          </w:tcPr>
          <w:p w14:paraId="1908EA3D" w14:textId="056E9287" w:rsidR="006A60AA" w:rsidRPr="00E36D70" w:rsidRDefault="00FB4804" w:rsidP="006A60AA">
            <w:pPr>
              <w:rPr>
                <w:rFonts w:ascii="Arial" w:hAnsi="Arial" w:cs="Arial"/>
                <w:sz w:val="18"/>
                <w:szCs w:val="20"/>
              </w:rPr>
            </w:pPr>
            <w:r w:rsidRPr="00E36D70">
              <w:rPr>
                <w:rFonts w:ascii="Arial" w:hAnsi="Arial" w:cs="Arial"/>
                <w:sz w:val="18"/>
                <w:szCs w:val="20"/>
              </w:rPr>
              <w:t>0</w:t>
            </w:r>
          </w:p>
        </w:tc>
      </w:tr>
      <w:tr w:rsidR="0056133C" w:rsidRPr="002B50C0" w14:paraId="617BECED" w14:textId="77777777" w:rsidTr="00047D9D">
        <w:tc>
          <w:tcPr>
            <w:tcW w:w="2545" w:type="dxa"/>
          </w:tcPr>
          <w:p w14:paraId="3C6D1552" w14:textId="7C4B4823" w:rsidR="006D5034" w:rsidRDefault="006D5034" w:rsidP="006D5034">
            <w:pPr>
              <w:rPr>
                <w:rFonts w:ascii="Arial" w:hAnsi="Arial" w:cs="Arial"/>
                <w:sz w:val="18"/>
                <w:szCs w:val="20"/>
              </w:rPr>
            </w:pPr>
            <w:r>
              <w:rPr>
                <w:rFonts w:ascii="Arial" w:hAnsi="Arial" w:cs="Arial"/>
                <w:sz w:val="18"/>
                <w:szCs w:val="20"/>
              </w:rPr>
              <w:t>KPI2</w:t>
            </w:r>
          </w:p>
          <w:p w14:paraId="471B93A5" w14:textId="1BD907F9" w:rsidR="0056133C" w:rsidRPr="00FB4804" w:rsidRDefault="0056133C" w:rsidP="0056133C">
            <w:pPr>
              <w:rPr>
                <w:rFonts w:ascii="Arial" w:hAnsi="Arial" w:cs="Arial"/>
                <w:sz w:val="18"/>
                <w:szCs w:val="20"/>
              </w:rPr>
            </w:pPr>
            <w:r w:rsidRPr="00FB4804">
              <w:rPr>
                <w:rFonts w:ascii="Arial" w:hAnsi="Arial" w:cs="Arial"/>
                <w:sz w:val="18"/>
                <w:szCs w:val="20"/>
              </w:rPr>
              <w:t>Przestrzeń dyskowa serwerowni</w:t>
            </w:r>
          </w:p>
        </w:tc>
        <w:tc>
          <w:tcPr>
            <w:tcW w:w="1278" w:type="dxa"/>
          </w:tcPr>
          <w:p w14:paraId="07FBED5F" w14:textId="42AD3820" w:rsidR="0056133C" w:rsidRPr="00E36D70" w:rsidRDefault="0056133C" w:rsidP="0056133C">
            <w:pPr>
              <w:rPr>
                <w:rFonts w:ascii="Arial" w:hAnsi="Arial" w:cs="Arial"/>
                <w:sz w:val="18"/>
                <w:szCs w:val="20"/>
              </w:rPr>
            </w:pPr>
            <w:r w:rsidRPr="00E36D70">
              <w:rPr>
                <w:rFonts w:ascii="Arial" w:hAnsi="Arial" w:cs="Arial"/>
                <w:sz w:val="18"/>
                <w:szCs w:val="20"/>
              </w:rPr>
              <w:t>TB</w:t>
            </w:r>
          </w:p>
        </w:tc>
        <w:tc>
          <w:tcPr>
            <w:tcW w:w="1842" w:type="dxa"/>
          </w:tcPr>
          <w:p w14:paraId="66CE137A" w14:textId="106D71CA" w:rsidR="0056133C" w:rsidRPr="00E36D70" w:rsidRDefault="0056133C" w:rsidP="0056133C">
            <w:pPr>
              <w:rPr>
                <w:rFonts w:ascii="Arial" w:hAnsi="Arial" w:cs="Arial"/>
                <w:sz w:val="18"/>
                <w:szCs w:val="20"/>
              </w:rPr>
            </w:pPr>
            <w:r w:rsidRPr="00E36D70">
              <w:rPr>
                <w:rFonts w:ascii="Arial" w:hAnsi="Arial" w:cs="Arial"/>
                <w:sz w:val="18"/>
                <w:szCs w:val="20"/>
              </w:rPr>
              <w:t>10</w:t>
            </w:r>
          </w:p>
        </w:tc>
        <w:tc>
          <w:tcPr>
            <w:tcW w:w="1701" w:type="dxa"/>
          </w:tcPr>
          <w:p w14:paraId="0ACE117B" w14:textId="604F3FB0" w:rsidR="0056133C" w:rsidRPr="00E36D70" w:rsidRDefault="0056133C" w:rsidP="0056133C">
            <w:pPr>
              <w:rPr>
                <w:rFonts w:ascii="Arial" w:hAnsi="Arial" w:cs="Arial"/>
                <w:sz w:val="18"/>
                <w:szCs w:val="20"/>
              </w:rPr>
            </w:pPr>
            <w:r w:rsidRPr="00E36D70">
              <w:rPr>
                <w:rFonts w:ascii="Arial" w:hAnsi="Arial" w:cs="Arial"/>
                <w:sz w:val="18"/>
                <w:szCs w:val="20"/>
              </w:rPr>
              <w:t>04-2023</w:t>
            </w:r>
          </w:p>
        </w:tc>
        <w:tc>
          <w:tcPr>
            <w:tcW w:w="2268" w:type="dxa"/>
          </w:tcPr>
          <w:p w14:paraId="1E814D37" w14:textId="1C8FB32D" w:rsidR="0056133C" w:rsidRPr="00E36D70" w:rsidRDefault="0056133C" w:rsidP="0056133C">
            <w:pPr>
              <w:rPr>
                <w:rFonts w:ascii="Arial" w:hAnsi="Arial" w:cs="Arial"/>
                <w:sz w:val="18"/>
                <w:szCs w:val="20"/>
              </w:rPr>
            </w:pPr>
            <w:r w:rsidRPr="00E36D70">
              <w:rPr>
                <w:rFonts w:ascii="Arial" w:hAnsi="Arial" w:cs="Arial"/>
                <w:sz w:val="18"/>
                <w:szCs w:val="20"/>
              </w:rPr>
              <w:t>0</w:t>
            </w:r>
          </w:p>
        </w:tc>
      </w:tr>
      <w:tr w:rsidR="0056133C" w:rsidRPr="002B50C0" w14:paraId="21936FA2" w14:textId="77777777" w:rsidTr="00047D9D">
        <w:tc>
          <w:tcPr>
            <w:tcW w:w="2545" w:type="dxa"/>
          </w:tcPr>
          <w:p w14:paraId="0EECD521" w14:textId="09DE048E" w:rsidR="006D5034" w:rsidRDefault="006D5034" w:rsidP="0056133C">
            <w:pPr>
              <w:rPr>
                <w:rFonts w:ascii="Arial" w:hAnsi="Arial" w:cs="Arial"/>
                <w:sz w:val="18"/>
                <w:szCs w:val="20"/>
              </w:rPr>
            </w:pPr>
            <w:r>
              <w:rPr>
                <w:rFonts w:ascii="Arial" w:hAnsi="Arial" w:cs="Arial"/>
                <w:sz w:val="18"/>
                <w:szCs w:val="20"/>
              </w:rPr>
              <w:t>KPI3</w:t>
            </w:r>
          </w:p>
          <w:p w14:paraId="7A774DFB" w14:textId="6F1B6F4E" w:rsidR="0056133C" w:rsidRPr="00FB4804" w:rsidRDefault="0056133C" w:rsidP="0056133C">
            <w:pPr>
              <w:rPr>
                <w:rFonts w:ascii="Arial" w:hAnsi="Arial" w:cs="Arial"/>
                <w:sz w:val="18"/>
                <w:szCs w:val="20"/>
              </w:rPr>
            </w:pPr>
            <w:r w:rsidRPr="00FB4804">
              <w:rPr>
                <w:rFonts w:ascii="Arial" w:hAnsi="Arial" w:cs="Arial"/>
                <w:sz w:val="18"/>
                <w:szCs w:val="20"/>
              </w:rPr>
              <w:t>Liczba uruchomionych systemów teleinformatycznych w podmiotach</w:t>
            </w:r>
          </w:p>
          <w:p w14:paraId="02BC1E0A" w14:textId="4DF7903E" w:rsidR="0056133C" w:rsidRPr="00FB4804" w:rsidRDefault="0056133C" w:rsidP="0056133C">
            <w:pPr>
              <w:rPr>
                <w:rFonts w:ascii="Arial" w:hAnsi="Arial" w:cs="Arial"/>
                <w:sz w:val="18"/>
                <w:szCs w:val="20"/>
              </w:rPr>
            </w:pPr>
            <w:r w:rsidRPr="00FB4804">
              <w:rPr>
                <w:rFonts w:ascii="Arial" w:hAnsi="Arial" w:cs="Arial"/>
                <w:sz w:val="18"/>
                <w:szCs w:val="20"/>
              </w:rPr>
              <w:t>wykonujących zadania publiczne</w:t>
            </w:r>
          </w:p>
        </w:tc>
        <w:tc>
          <w:tcPr>
            <w:tcW w:w="1278" w:type="dxa"/>
          </w:tcPr>
          <w:p w14:paraId="05D9216E" w14:textId="133DAE3E" w:rsidR="0056133C" w:rsidRPr="00E36D70" w:rsidRDefault="0056133C" w:rsidP="0056133C">
            <w:pPr>
              <w:rPr>
                <w:rFonts w:ascii="Arial" w:hAnsi="Arial" w:cs="Arial"/>
                <w:sz w:val="18"/>
                <w:szCs w:val="20"/>
              </w:rPr>
            </w:pPr>
            <w:r w:rsidRPr="00E36D70">
              <w:rPr>
                <w:rFonts w:ascii="Arial" w:hAnsi="Arial" w:cs="Arial"/>
                <w:sz w:val="18"/>
                <w:szCs w:val="20"/>
              </w:rPr>
              <w:t>szt.</w:t>
            </w:r>
          </w:p>
        </w:tc>
        <w:tc>
          <w:tcPr>
            <w:tcW w:w="1842" w:type="dxa"/>
          </w:tcPr>
          <w:p w14:paraId="75E42A7D" w14:textId="40523832" w:rsidR="0056133C" w:rsidRPr="00E36D70" w:rsidRDefault="0056133C" w:rsidP="0056133C">
            <w:pPr>
              <w:rPr>
                <w:rFonts w:ascii="Arial" w:hAnsi="Arial" w:cs="Arial"/>
                <w:sz w:val="18"/>
                <w:szCs w:val="20"/>
              </w:rPr>
            </w:pPr>
            <w:r w:rsidRPr="00E36D70">
              <w:rPr>
                <w:rFonts w:ascii="Arial" w:hAnsi="Arial" w:cs="Arial"/>
                <w:sz w:val="18"/>
                <w:szCs w:val="20"/>
              </w:rPr>
              <w:t>1</w:t>
            </w:r>
          </w:p>
        </w:tc>
        <w:tc>
          <w:tcPr>
            <w:tcW w:w="1701" w:type="dxa"/>
          </w:tcPr>
          <w:p w14:paraId="4D3EF0B7" w14:textId="25F29CFA" w:rsidR="0056133C" w:rsidRPr="00E36D70" w:rsidRDefault="0056133C" w:rsidP="0056133C">
            <w:pPr>
              <w:rPr>
                <w:rFonts w:ascii="Arial" w:hAnsi="Arial" w:cs="Arial"/>
                <w:sz w:val="18"/>
                <w:szCs w:val="20"/>
              </w:rPr>
            </w:pPr>
            <w:r w:rsidRPr="00E36D70">
              <w:rPr>
                <w:rFonts w:ascii="Arial" w:hAnsi="Arial" w:cs="Arial"/>
                <w:sz w:val="18"/>
                <w:szCs w:val="20"/>
              </w:rPr>
              <w:t>04-2023</w:t>
            </w:r>
          </w:p>
        </w:tc>
        <w:tc>
          <w:tcPr>
            <w:tcW w:w="2268" w:type="dxa"/>
          </w:tcPr>
          <w:p w14:paraId="02A57C05" w14:textId="2D42AE6E" w:rsidR="0056133C" w:rsidRPr="00E36D70" w:rsidRDefault="0056133C" w:rsidP="0056133C">
            <w:pPr>
              <w:rPr>
                <w:rFonts w:ascii="Arial" w:hAnsi="Arial" w:cs="Arial"/>
                <w:sz w:val="18"/>
                <w:szCs w:val="20"/>
              </w:rPr>
            </w:pPr>
            <w:r w:rsidRPr="00E36D70">
              <w:rPr>
                <w:rFonts w:ascii="Arial" w:hAnsi="Arial" w:cs="Arial"/>
                <w:sz w:val="18"/>
                <w:szCs w:val="20"/>
              </w:rPr>
              <w:t>0</w:t>
            </w:r>
          </w:p>
        </w:tc>
      </w:tr>
      <w:tr w:rsidR="0056133C" w:rsidRPr="002B50C0" w14:paraId="75D55092" w14:textId="77777777" w:rsidTr="00047D9D">
        <w:tc>
          <w:tcPr>
            <w:tcW w:w="2545" w:type="dxa"/>
          </w:tcPr>
          <w:p w14:paraId="25DA6B64" w14:textId="62F2B57E" w:rsidR="006D5034" w:rsidRDefault="006D5034" w:rsidP="0056133C">
            <w:pPr>
              <w:rPr>
                <w:rFonts w:ascii="Arial" w:hAnsi="Arial" w:cs="Arial"/>
                <w:sz w:val="18"/>
                <w:szCs w:val="20"/>
              </w:rPr>
            </w:pPr>
            <w:r>
              <w:rPr>
                <w:rFonts w:ascii="Arial" w:hAnsi="Arial" w:cs="Arial"/>
                <w:sz w:val="18"/>
                <w:szCs w:val="20"/>
              </w:rPr>
              <w:t>KPI4</w:t>
            </w:r>
          </w:p>
          <w:p w14:paraId="2D1A21D1" w14:textId="25616E8A" w:rsidR="0056133C" w:rsidRPr="00FB4804" w:rsidRDefault="0056133C" w:rsidP="0056133C">
            <w:pPr>
              <w:rPr>
                <w:rFonts w:ascii="Arial" w:hAnsi="Arial" w:cs="Arial"/>
                <w:sz w:val="18"/>
                <w:szCs w:val="20"/>
              </w:rPr>
            </w:pPr>
            <w:r w:rsidRPr="00FB4804">
              <w:rPr>
                <w:rFonts w:ascii="Arial" w:hAnsi="Arial" w:cs="Arial"/>
                <w:sz w:val="18"/>
                <w:szCs w:val="20"/>
              </w:rPr>
              <w:t>Liczba pracowników podmiotów wykonujących zadania publiczne</w:t>
            </w:r>
          </w:p>
          <w:p w14:paraId="51B634C1" w14:textId="5E901CED" w:rsidR="0056133C" w:rsidRPr="00FB4804" w:rsidRDefault="0056133C" w:rsidP="0056133C">
            <w:pPr>
              <w:rPr>
                <w:rFonts w:ascii="Arial" w:hAnsi="Arial" w:cs="Arial"/>
                <w:sz w:val="18"/>
                <w:szCs w:val="20"/>
              </w:rPr>
            </w:pPr>
            <w:r w:rsidRPr="00FB4804">
              <w:rPr>
                <w:rFonts w:ascii="Arial" w:hAnsi="Arial" w:cs="Arial"/>
                <w:sz w:val="18"/>
                <w:szCs w:val="20"/>
              </w:rPr>
              <w:t>nie będących pracownikami IT, objętych wsparciem szkoleniowym</w:t>
            </w:r>
          </w:p>
        </w:tc>
        <w:tc>
          <w:tcPr>
            <w:tcW w:w="1278" w:type="dxa"/>
          </w:tcPr>
          <w:p w14:paraId="5612C3E0" w14:textId="533BCC29" w:rsidR="0056133C" w:rsidRPr="00E36D70" w:rsidRDefault="0056133C" w:rsidP="0056133C">
            <w:pPr>
              <w:rPr>
                <w:rFonts w:ascii="Arial" w:hAnsi="Arial" w:cs="Arial"/>
                <w:sz w:val="18"/>
                <w:szCs w:val="20"/>
              </w:rPr>
            </w:pPr>
            <w:r w:rsidRPr="00E36D70">
              <w:rPr>
                <w:rFonts w:ascii="Arial" w:hAnsi="Arial" w:cs="Arial"/>
                <w:sz w:val="18"/>
                <w:szCs w:val="20"/>
              </w:rPr>
              <w:t>osoby</w:t>
            </w:r>
          </w:p>
        </w:tc>
        <w:tc>
          <w:tcPr>
            <w:tcW w:w="1842" w:type="dxa"/>
          </w:tcPr>
          <w:p w14:paraId="28F15A91" w14:textId="67E7F3C8" w:rsidR="0056133C" w:rsidRPr="00E36D70" w:rsidRDefault="0056133C" w:rsidP="0056133C">
            <w:pPr>
              <w:rPr>
                <w:rFonts w:ascii="Arial" w:hAnsi="Arial" w:cs="Arial"/>
                <w:sz w:val="18"/>
                <w:szCs w:val="20"/>
              </w:rPr>
            </w:pPr>
            <w:r w:rsidRPr="00E36D70">
              <w:rPr>
                <w:rFonts w:ascii="Arial" w:hAnsi="Arial" w:cs="Arial"/>
                <w:sz w:val="18"/>
                <w:szCs w:val="20"/>
              </w:rPr>
              <w:t>3</w:t>
            </w:r>
          </w:p>
        </w:tc>
        <w:tc>
          <w:tcPr>
            <w:tcW w:w="1701" w:type="dxa"/>
          </w:tcPr>
          <w:p w14:paraId="4E2C3F9F" w14:textId="2BFB87F2" w:rsidR="0056133C" w:rsidRPr="00E36D70" w:rsidRDefault="0056133C" w:rsidP="0056133C">
            <w:pPr>
              <w:rPr>
                <w:rFonts w:ascii="Arial" w:hAnsi="Arial" w:cs="Arial"/>
                <w:sz w:val="18"/>
                <w:szCs w:val="20"/>
              </w:rPr>
            </w:pPr>
            <w:r>
              <w:rPr>
                <w:rFonts w:ascii="Arial" w:hAnsi="Arial" w:cs="Arial"/>
                <w:sz w:val="18"/>
                <w:szCs w:val="20"/>
              </w:rPr>
              <w:t>12-2021</w:t>
            </w:r>
          </w:p>
        </w:tc>
        <w:tc>
          <w:tcPr>
            <w:tcW w:w="2268" w:type="dxa"/>
          </w:tcPr>
          <w:p w14:paraId="12919387" w14:textId="48802901" w:rsidR="0056133C" w:rsidRPr="00E36D70" w:rsidRDefault="0056133C" w:rsidP="0056133C">
            <w:pPr>
              <w:rPr>
                <w:rFonts w:ascii="Arial" w:hAnsi="Arial" w:cs="Arial"/>
                <w:sz w:val="18"/>
                <w:szCs w:val="20"/>
              </w:rPr>
            </w:pPr>
            <w:r w:rsidRPr="00E36D70">
              <w:rPr>
                <w:rFonts w:ascii="Arial" w:hAnsi="Arial" w:cs="Arial"/>
                <w:sz w:val="18"/>
                <w:szCs w:val="20"/>
              </w:rPr>
              <w:t>0</w:t>
            </w:r>
          </w:p>
        </w:tc>
      </w:tr>
      <w:tr w:rsidR="0056133C" w:rsidRPr="002B50C0" w14:paraId="703D182A" w14:textId="77777777" w:rsidTr="00047D9D">
        <w:tc>
          <w:tcPr>
            <w:tcW w:w="2545" w:type="dxa"/>
          </w:tcPr>
          <w:p w14:paraId="1833B27A" w14:textId="06C67F43" w:rsidR="006D5034" w:rsidRDefault="006D5034" w:rsidP="0056133C">
            <w:pPr>
              <w:rPr>
                <w:rFonts w:ascii="Arial" w:hAnsi="Arial" w:cs="Arial"/>
                <w:sz w:val="18"/>
                <w:szCs w:val="20"/>
              </w:rPr>
            </w:pPr>
            <w:r>
              <w:rPr>
                <w:rFonts w:ascii="Arial" w:hAnsi="Arial" w:cs="Arial"/>
                <w:sz w:val="18"/>
                <w:szCs w:val="20"/>
              </w:rPr>
              <w:t>KPI5</w:t>
            </w:r>
          </w:p>
          <w:p w14:paraId="66075588" w14:textId="1429872E" w:rsidR="0056133C" w:rsidRPr="00FB4804" w:rsidRDefault="0056133C" w:rsidP="0056133C">
            <w:pPr>
              <w:rPr>
                <w:rFonts w:ascii="Arial" w:hAnsi="Arial" w:cs="Arial"/>
                <w:sz w:val="18"/>
                <w:szCs w:val="20"/>
              </w:rPr>
            </w:pPr>
            <w:r w:rsidRPr="00FB4804">
              <w:rPr>
                <w:rFonts w:ascii="Arial" w:hAnsi="Arial" w:cs="Arial"/>
                <w:sz w:val="18"/>
                <w:szCs w:val="20"/>
              </w:rPr>
              <w:t>Liczba pracowników podmiotów wykonujących zadania publiczne</w:t>
            </w:r>
          </w:p>
          <w:p w14:paraId="4269265C" w14:textId="77777777" w:rsidR="0056133C" w:rsidRPr="00FB4804" w:rsidRDefault="0056133C" w:rsidP="0056133C">
            <w:pPr>
              <w:rPr>
                <w:rFonts w:ascii="Arial" w:hAnsi="Arial" w:cs="Arial"/>
                <w:sz w:val="18"/>
                <w:szCs w:val="20"/>
              </w:rPr>
            </w:pPr>
            <w:r w:rsidRPr="00FB4804">
              <w:rPr>
                <w:rFonts w:ascii="Arial" w:hAnsi="Arial" w:cs="Arial"/>
                <w:sz w:val="18"/>
                <w:szCs w:val="20"/>
              </w:rPr>
              <w:t>niebędących pracownikami IT, objętych wsparciem szkoleniowym -</w:t>
            </w:r>
          </w:p>
          <w:p w14:paraId="4F89C1B4" w14:textId="56F17D19" w:rsidR="0056133C" w:rsidRPr="00FB4804" w:rsidRDefault="0056133C" w:rsidP="0056133C">
            <w:pPr>
              <w:rPr>
                <w:rFonts w:ascii="Arial" w:hAnsi="Arial" w:cs="Arial"/>
                <w:sz w:val="18"/>
                <w:szCs w:val="20"/>
              </w:rPr>
            </w:pPr>
            <w:r w:rsidRPr="00FB4804">
              <w:rPr>
                <w:rFonts w:ascii="Arial" w:hAnsi="Arial" w:cs="Arial"/>
                <w:sz w:val="18"/>
                <w:szCs w:val="20"/>
              </w:rPr>
              <w:t>mężczyźni</w:t>
            </w:r>
          </w:p>
        </w:tc>
        <w:tc>
          <w:tcPr>
            <w:tcW w:w="1278" w:type="dxa"/>
          </w:tcPr>
          <w:p w14:paraId="72D8FC11" w14:textId="7777A2C6" w:rsidR="0056133C" w:rsidRPr="00E36D70" w:rsidRDefault="0056133C" w:rsidP="0056133C">
            <w:pPr>
              <w:rPr>
                <w:rFonts w:ascii="Arial" w:hAnsi="Arial" w:cs="Arial"/>
                <w:sz w:val="18"/>
                <w:szCs w:val="20"/>
              </w:rPr>
            </w:pPr>
            <w:r w:rsidRPr="00E36D70">
              <w:rPr>
                <w:rFonts w:ascii="Arial" w:hAnsi="Arial" w:cs="Arial"/>
                <w:sz w:val="18"/>
                <w:szCs w:val="20"/>
              </w:rPr>
              <w:t>osoby</w:t>
            </w:r>
          </w:p>
        </w:tc>
        <w:tc>
          <w:tcPr>
            <w:tcW w:w="1842" w:type="dxa"/>
          </w:tcPr>
          <w:p w14:paraId="094B04AD" w14:textId="57EEB2C7" w:rsidR="0056133C" w:rsidRPr="00E36D70" w:rsidRDefault="0056133C" w:rsidP="0056133C">
            <w:pPr>
              <w:rPr>
                <w:rFonts w:ascii="Arial" w:hAnsi="Arial" w:cs="Arial"/>
                <w:sz w:val="18"/>
                <w:szCs w:val="20"/>
              </w:rPr>
            </w:pPr>
            <w:r w:rsidRPr="00E36D70">
              <w:rPr>
                <w:rFonts w:ascii="Arial" w:hAnsi="Arial" w:cs="Arial"/>
                <w:sz w:val="18"/>
                <w:szCs w:val="20"/>
              </w:rPr>
              <w:t>3</w:t>
            </w:r>
          </w:p>
        </w:tc>
        <w:tc>
          <w:tcPr>
            <w:tcW w:w="1701" w:type="dxa"/>
          </w:tcPr>
          <w:p w14:paraId="1DFF14ED" w14:textId="7247845C" w:rsidR="0056133C" w:rsidRPr="00E36D70" w:rsidRDefault="0056133C" w:rsidP="0056133C">
            <w:pPr>
              <w:rPr>
                <w:rFonts w:ascii="Arial" w:hAnsi="Arial" w:cs="Arial"/>
                <w:sz w:val="18"/>
                <w:szCs w:val="20"/>
              </w:rPr>
            </w:pPr>
            <w:r>
              <w:rPr>
                <w:rFonts w:ascii="Arial" w:hAnsi="Arial" w:cs="Arial"/>
                <w:sz w:val="18"/>
                <w:szCs w:val="20"/>
              </w:rPr>
              <w:t>12-2021</w:t>
            </w:r>
          </w:p>
        </w:tc>
        <w:tc>
          <w:tcPr>
            <w:tcW w:w="2268" w:type="dxa"/>
          </w:tcPr>
          <w:p w14:paraId="5DD284CA" w14:textId="7B4D61D1" w:rsidR="0056133C" w:rsidRPr="00E36D70" w:rsidRDefault="0056133C" w:rsidP="0056133C">
            <w:pPr>
              <w:rPr>
                <w:rFonts w:ascii="Arial" w:hAnsi="Arial" w:cs="Arial"/>
                <w:sz w:val="18"/>
                <w:szCs w:val="20"/>
              </w:rPr>
            </w:pPr>
            <w:r w:rsidRPr="00E36D70">
              <w:rPr>
                <w:rFonts w:ascii="Arial" w:hAnsi="Arial" w:cs="Arial"/>
                <w:sz w:val="18"/>
                <w:szCs w:val="20"/>
              </w:rPr>
              <w:t>0</w:t>
            </w:r>
          </w:p>
        </w:tc>
      </w:tr>
      <w:tr w:rsidR="0056133C" w:rsidRPr="002B50C0" w14:paraId="0EA3731E" w14:textId="77777777" w:rsidTr="00047D9D">
        <w:tc>
          <w:tcPr>
            <w:tcW w:w="2545" w:type="dxa"/>
          </w:tcPr>
          <w:p w14:paraId="6F507828" w14:textId="19EE1798" w:rsidR="006D5034" w:rsidRDefault="006D5034" w:rsidP="0056133C">
            <w:pPr>
              <w:rPr>
                <w:rFonts w:ascii="Arial" w:hAnsi="Arial" w:cs="Arial"/>
                <w:sz w:val="18"/>
                <w:szCs w:val="20"/>
              </w:rPr>
            </w:pPr>
            <w:r>
              <w:rPr>
                <w:rFonts w:ascii="Arial" w:hAnsi="Arial" w:cs="Arial"/>
                <w:sz w:val="18"/>
                <w:szCs w:val="20"/>
              </w:rPr>
              <w:t>KPI6</w:t>
            </w:r>
          </w:p>
          <w:p w14:paraId="46B23932" w14:textId="080CD4E8" w:rsidR="0056133C" w:rsidRPr="00FB4804" w:rsidRDefault="0056133C" w:rsidP="0056133C">
            <w:pPr>
              <w:rPr>
                <w:rFonts w:ascii="Arial" w:hAnsi="Arial" w:cs="Arial"/>
                <w:sz w:val="18"/>
                <w:szCs w:val="20"/>
              </w:rPr>
            </w:pPr>
            <w:r w:rsidRPr="00FB4804">
              <w:rPr>
                <w:rFonts w:ascii="Arial" w:hAnsi="Arial" w:cs="Arial"/>
                <w:sz w:val="18"/>
                <w:szCs w:val="20"/>
              </w:rPr>
              <w:t>Liczba załatwionych spraw poprzez udostępnioną on-line usługę</w:t>
            </w:r>
          </w:p>
          <w:p w14:paraId="71ECD865" w14:textId="3E490729" w:rsidR="0056133C" w:rsidRPr="00FB4804" w:rsidRDefault="0056133C" w:rsidP="0056133C">
            <w:pPr>
              <w:rPr>
                <w:rFonts w:ascii="Arial" w:hAnsi="Arial" w:cs="Arial"/>
                <w:sz w:val="18"/>
                <w:szCs w:val="20"/>
              </w:rPr>
            </w:pPr>
            <w:r w:rsidRPr="00FB4804">
              <w:rPr>
                <w:rFonts w:ascii="Arial" w:hAnsi="Arial" w:cs="Arial"/>
                <w:sz w:val="18"/>
                <w:szCs w:val="20"/>
              </w:rPr>
              <w:t>publiczną</w:t>
            </w:r>
          </w:p>
        </w:tc>
        <w:tc>
          <w:tcPr>
            <w:tcW w:w="1278" w:type="dxa"/>
          </w:tcPr>
          <w:p w14:paraId="2636A204" w14:textId="4CD09607" w:rsidR="0056133C" w:rsidRPr="00E36D70" w:rsidRDefault="0056133C" w:rsidP="0056133C">
            <w:pPr>
              <w:rPr>
                <w:rFonts w:ascii="Arial" w:hAnsi="Arial" w:cs="Arial"/>
                <w:sz w:val="18"/>
                <w:szCs w:val="20"/>
              </w:rPr>
            </w:pPr>
            <w:r w:rsidRPr="00E36D70">
              <w:rPr>
                <w:rFonts w:ascii="Arial" w:hAnsi="Arial" w:cs="Arial"/>
                <w:sz w:val="18"/>
                <w:szCs w:val="20"/>
              </w:rPr>
              <w:t>szt.</w:t>
            </w:r>
          </w:p>
        </w:tc>
        <w:tc>
          <w:tcPr>
            <w:tcW w:w="1842" w:type="dxa"/>
          </w:tcPr>
          <w:p w14:paraId="18F228BB" w14:textId="5C451481" w:rsidR="0056133C" w:rsidRPr="00E36D70" w:rsidRDefault="0056133C" w:rsidP="0056133C">
            <w:pPr>
              <w:rPr>
                <w:rFonts w:ascii="Arial" w:hAnsi="Arial" w:cs="Arial"/>
                <w:sz w:val="18"/>
                <w:szCs w:val="20"/>
              </w:rPr>
            </w:pPr>
            <w:r w:rsidRPr="00E36D70">
              <w:rPr>
                <w:rFonts w:ascii="Arial" w:hAnsi="Arial" w:cs="Arial"/>
                <w:sz w:val="18"/>
                <w:szCs w:val="20"/>
              </w:rPr>
              <w:t>601</w:t>
            </w:r>
          </w:p>
        </w:tc>
        <w:tc>
          <w:tcPr>
            <w:tcW w:w="1701" w:type="dxa"/>
          </w:tcPr>
          <w:p w14:paraId="1D114708" w14:textId="2D4C701F" w:rsidR="0056133C" w:rsidRPr="00E36D70" w:rsidRDefault="0056133C" w:rsidP="0056133C">
            <w:pPr>
              <w:rPr>
                <w:rFonts w:ascii="Arial" w:hAnsi="Arial" w:cs="Arial"/>
                <w:sz w:val="18"/>
                <w:szCs w:val="20"/>
              </w:rPr>
            </w:pPr>
            <w:r>
              <w:rPr>
                <w:rFonts w:ascii="Arial" w:hAnsi="Arial" w:cs="Arial"/>
                <w:sz w:val="18"/>
                <w:szCs w:val="20"/>
              </w:rPr>
              <w:t>06-2024</w:t>
            </w:r>
          </w:p>
        </w:tc>
        <w:tc>
          <w:tcPr>
            <w:tcW w:w="2268" w:type="dxa"/>
          </w:tcPr>
          <w:p w14:paraId="3ADEC11E" w14:textId="762350EE" w:rsidR="0056133C" w:rsidRPr="00E36D70" w:rsidRDefault="0056133C" w:rsidP="0056133C">
            <w:pPr>
              <w:rPr>
                <w:rFonts w:ascii="Arial" w:hAnsi="Arial" w:cs="Arial"/>
                <w:sz w:val="18"/>
                <w:szCs w:val="20"/>
              </w:rPr>
            </w:pPr>
            <w:r w:rsidRPr="00E36D70">
              <w:rPr>
                <w:rFonts w:ascii="Arial" w:hAnsi="Arial" w:cs="Arial"/>
                <w:sz w:val="18"/>
                <w:szCs w:val="20"/>
              </w:rPr>
              <w:t>0 (wskaźnik planowany do osiągnięcia w okresie trwałości projektu)</w:t>
            </w:r>
          </w:p>
        </w:tc>
      </w:tr>
      <w:tr w:rsidR="0056133C" w:rsidRPr="002B50C0" w14:paraId="14CEBB44" w14:textId="77777777" w:rsidTr="00047D9D">
        <w:tc>
          <w:tcPr>
            <w:tcW w:w="2545" w:type="dxa"/>
          </w:tcPr>
          <w:p w14:paraId="0A7BB806" w14:textId="4FB0B5B8" w:rsidR="006D5034" w:rsidRDefault="006D5034" w:rsidP="0056133C">
            <w:pPr>
              <w:rPr>
                <w:rFonts w:ascii="Arial" w:hAnsi="Arial" w:cs="Arial"/>
                <w:sz w:val="18"/>
                <w:szCs w:val="20"/>
              </w:rPr>
            </w:pPr>
            <w:r>
              <w:rPr>
                <w:rFonts w:ascii="Arial" w:hAnsi="Arial" w:cs="Arial"/>
                <w:sz w:val="18"/>
                <w:szCs w:val="20"/>
              </w:rPr>
              <w:t>KPI7</w:t>
            </w:r>
          </w:p>
          <w:p w14:paraId="3A41B2F1" w14:textId="5E0BEC79" w:rsidR="0056133C" w:rsidRPr="00FB4804" w:rsidRDefault="0056133C" w:rsidP="0056133C">
            <w:pPr>
              <w:rPr>
                <w:rFonts w:ascii="Arial" w:hAnsi="Arial" w:cs="Arial"/>
                <w:sz w:val="18"/>
                <w:szCs w:val="20"/>
              </w:rPr>
            </w:pPr>
            <w:r w:rsidRPr="00FB4804">
              <w:rPr>
                <w:rFonts w:ascii="Arial" w:hAnsi="Arial" w:cs="Arial"/>
                <w:sz w:val="18"/>
                <w:szCs w:val="20"/>
              </w:rPr>
              <w:t>Moc obliczeniowa serwerowni</w:t>
            </w:r>
          </w:p>
        </w:tc>
        <w:tc>
          <w:tcPr>
            <w:tcW w:w="1278" w:type="dxa"/>
          </w:tcPr>
          <w:p w14:paraId="057AA571" w14:textId="48C24B0E" w:rsidR="0056133C" w:rsidRPr="00E36D70" w:rsidRDefault="0056133C" w:rsidP="0056133C">
            <w:pPr>
              <w:rPr>
                <w:rFonts w:ascii="Arial" w:hAnsi="Arial" w:cs="Arial"/>
                <w:sz w:val="18"/>
                <w:szCs w:val="20"/>
              </w:rPr>
            </w:pPr>
            <w:r w:rsidRPr="00E36D70">
              <w:rPr>
                <w:rFonts w:ascii="Arial" w:hAnsi="Arial" w:cs="Arial"/>
                <w:sz w:val="18"/>
                <w:szCs w:val="20"/>
              </w:rPr>
              <w:t>teraflops</w:t>
            </w:r>
          </w:p>
        </w:tc>
        <w:tc>
          <w:tcPr>
            <w:tcW w:w="1842" w:type="dxa"/>
          </w:tcPr>
          <w:p w14:paraId="4D298404" w14:textId="043CD85E" w:rsidR="0056133C" w:rsidRPr="00E36D70" w:rsidRDefault="0056133C" w:rsidP="0056133C">
            <w:pPr>
              <w:rPr>
                <w:rFonts w:ascii="Arial" w:hAnsi="Arial" w:cs="Arial"/>
                <w:sz w:val="18"/>
                <w:szCs w:val="20"/>
              </w:rPr>
            </w:pPr>
            <w:r w:rsidRPr="00E36D70">
              <w:rPr>
                <w:rFonts w:ascii="Arial" w:hAnsi="Arial" w:cs="Arial"/>
                <w:sz w:val="18"/>
                <w:szCs w:val="20"/>
              </w:rPr>
              <w:t>3.20</w:t>
            </w:r>
          </w:p>
        </w:tc>
        <w:tc>
          <w:tcPr>
            <w:tcW w:w="1701" w:type="dxa"/>
          </w:tcPr>
          <w:p w14:paraId="4CBA6E7C" w14:textId="35092D71" w:rsidR="0056133C" w:rsidRPr="00E36D70" w:rsidRDefault="0056133C" w:rsidP="0056133C">
            <w:pPr>
              <w:rPr>
                <w:rFonts w:ascii="Arial" w:hAnsi="Arial" w:cs="Arial"/>
                <w:sz w:val="18"/>
                <w:szCs w:val="20"/>
              </w:rPr>
            </w:pPr>
            <w:r w:rsidRPr="00E36D70">
              <w:rPr>
                <w:rFonts w:ascii="Arial" w:hAnsi="Arial" w:cs="Arial"/>
                <w:sz w:val="18"/>
                <w:szCs w:val="20"/>
              </w:rPr>
              <w:t>04-2023</w:t>
            </w:r>
          </w:p>
        </w:tc>
        <w:tc>
          <w:tcPr>
            <w:tcW w:w="2268" w:type="dxa"/>
          </w:tcPr>
          <w:p w14:paraId="272D6D81" w14:textId="2D453B55" w:rsidR="0056133C" w:rsidRPr="00E36D70" w:rsidRDefault="0056133C" w:rsidP="0056133C">
            <w:pPr>
              <w:rPr>
                <w:rFonts w:ascii="Arial" w:hAnsi="Arial" w:cs="Arial"/>
                <w:sz w:val="18"/>
                <w:szCs w:val="20"/>
              </w:rPr>
            </w:pPr>
            <w:r w:rsidRPr="00E36D70">
              <w:rPr>
                <w:rFonts w:ascii="Arial" w:hAnsi="Arial" w:cs="Arial"/>
                <w:sz w:val="18"/>
                <w:szCs w:val="20"/>
              </w:rPr>
              <w:t>0</w:t>
            </w:r>
          </w:p>
        </w:tc>
      </w:tr>
    </w:tbl>
    <w:bookmarkEnd w:id="0"/>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66D88A5" w14:textId="77777777" w:rsidTr="00517F12">
        <w:tc>
          <w:tcPr>
            <w:tcW w:w="2937" w:type="dxa"/>
          </w:tcPr>
          <w:p w14:paraId="4C64D5D7" w14:textId="4AB8A22B" w:rsidR="006E0E46" w:rsidRPr="001E23A3" w:rsidRDefault="006E0E46" w:rsidP="006E0E46">
            <w:pPr>
              <w:spacing w:before="120"/>
              <w:jc w:val="both"/>
              <w:rPr>
                <w:rFonts w:ascii="Arial" w:hAnsi="Arial" w:cs="Arial"/>
                <w:sz w:val="18"/>
                <w:szCs w:val="20"/>
              </w:rPr>
            </w:pPr>
            <w:r w:rsidRPr="00547AFC">
              <w:t>Usługa wiarygodnej i niezawodnej dystrybucji sygnałów czasu urzędowego obowiązującego na obszarze Rzeczypospolitej Polskiej i sygnałów polskiej realizacji międzynarodowego uniwersalnego czasu koordynowanego UTC(PL) oraz monitorowania synchronizacji</w:t>
            </w:r>
          </w:p>
          <w:p w14:paraId="21262D83" w14:textId="08836CFF" w:rsidR="007D38BD" w:rsidRPr="001E23A3" w:rsidRDefault="007D38BD" w:rsidP="006E0E46">
            <w:pPr>
              <w:rPr>
                <w:rFonts w:ascii="Arial" w:hAnsi="Arial" w:cs="Arial"/>
                <w:sz w:val="18"/>
                <w:szCs w:val="20"/>
              </w:rPr>
            </w:pPr>
          </w:p>
        </w:tc>
        <w:tc>
          <w:tcPr>
            <w:tcW w:w="1169" w:type="dxa"/>
          </w:tcPr>
          <w:p w14:paraId="6AACC774" w14:textId="17BB23DD" w:rsidR="007D38BD" w:rsidRPr="001E23A3" w:rsidRDefault="001E23A3" w:rsidP="00C1106C">
            <w:pPr>
              <w:ind w:left="44"/>
              <w:rPr>
                <w:rFonts w:ascii="Arial" w:hAnsi="Arial" w:cs="Arial"/>
                <w:sz w:val="18"/>
                <w:szCs w:val="20"/>
              </w:rPr>
            </w:pPr>
            <w:r>
              <w:rPr>
                <w:rFonts w:ascii="Arial" w:hAnsi="Arial" w:cs="Arial"/>
                <w:sz w:val="18"/>
                <w:szCs w:val="20"/>
              </w:rPr>
              <w:t>04-2023</w:t>
            </w:r>
          </w:p>
          <w:p w14:paraId="016C9765" w14:textId="77777777" w:rsidR="007D38BD" w:rsidRPr="001E23A3" w:rsidRDefault="007D38BD" w:rsidP="00C1106C">
            <w:pPr>
              <w:rPr>
                <w:rFonts w:ascii="Arial" w:hAnsi="Arial" w:cs="Arial"/>
                <w:sz w:val="18"/>
                <w:szCs w:val="20"/>
              </w:rPr>
            </w:pPr>
          </w:p>
        </w:tc>
        <w:tc>
          <w:tcPr>
            <w:tcW w:w="1134" w:type="dxa"/>
          </w:tcPr>
          <w:p w14:paraId="3DF8A089" w14:textId="5814D656" w:rsidR="007D38BD" w:rsidRPr="001E23A3" w:rsidRDefault="001E23A3" w:rsidP="00C1106C">
            <w:pPr>
              <w:rPr>
                <w:rFonts w:ascii="Arial" w:hAnsi="Arial" w:cs="Arial"/>
                <w:sz w:val="18"/>
                <w:szCs w:val="20"/>
              </w:rPr>
            </w:pPr>
            <w:r>
              <w:rPr>
                <w:rFonts w:ascii="Arial" w:hAnsi="Arial" w:cs="Arial"/>
                <w:sz w:val="18"/>
                <w:szCs w:val="20"/>
              </w:rPr>
              <w:t>Nie dotyczy</w:t>
            </w:r>
          </w:p>
        </w:tc>
        <w:tc>
          <w:tcPr>
            <w:tcW w:w="4394" w:type="dxa"/>
          </w:tcPr>
          <w:p w14:paraId="7DE99E5E" w14:textId="77777777" w:rsidR="007D38BD" w:rsidRPr="001E23A3" w:rsidRDefault="007D38BD" w:rsidP="001E23A3">
            <w:pPr>
              <w:rPr>
                <w:rFonts w:ascii="Arial" w:hAnsi="Arial" w:cs="Arial"/>
                <w:sz w:val="18"/>
                <w:szCs w:val="20"/>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E36D70" w:rsidRPr="002B50C0" w14:paraId="153EA8F3" w14:textId="77777777" w:rsidTr="00C6751B">
        <w:tc>
          <w:tcPr>
            <w:tcW w:w="2937" w:type="dxa"/>
          </w:tcPr>
          <w:p w14:paraId="46265E90" w14:textId="42DA8207" w:rsidR="00E36D70" w:rsidRPr="00E36D70" w:rsidRDefault="00E36D70" w:rsidP="00E36D70">
            <w:pPr>
              <w:rPr>
                <w:rFonts w:ascii="Calibri" w:hAnsi="Calibri" w:cs="Calibri"/>
                <w:color w:val="000000"/>
              </w:rPr>
            </w:pPr>
            <w:r w:rsidRPr="00E36D70">
              <w:rPr>
                <w:rFonts w:ascii="Calibri" w:hAnsi="Calibri" w:cs="Calibri"/>
                <w:color w:val="000000"/>
              </w:rPr>
              <w:t>Nie dotyczy</w:t>
            </w:r>
          </w:p>
        </w:tc>
        <w:tc>
          <w:tcPr>
            <w:tcW w:w="1169" w:type="dxa"/>
          </w:tcPr>
          <w:p w14:paraId="6D7C5935" w14:textId="3B871418" w:rsidR="00E36D70" w:rsidRPr="00E36D70" w:rsidRDefault="00E36D70" w:rsidP="00E36D70">
            <w:pPr>
              <w:rPr>
                <w:rFonts w:ascii="Calibri" w:hAnsi="Calibri" w:cs="Calibri"/>
                <w:color w:val="000000"/>
              </w:rPr>
            </w:pPr>
            <w:r w:rsidRPr="00E36D70">
              <w:rPr>
                <w:rFonts w:ascii="Calibri" w:hAnsi="Calibri" w:cs="Calibri"/>
                <w:color w:val="000000"/>
              </w:rPr>
              <w:t>Nie dotyczy</w:t>
            </w:r>
          </w:p>
        </w:tc>
        <w:tc>
          <w:tcPr>
            <w:tcW w:w="1134" w:type="dxa"/>
          </w:tcPr>
          <w:p w14:paraId="56773D50" w14:textId="481AA938" w:rsidR="00E36D70" w:rsidRPr="00E36D70" w:rsidRDefault="00E36D70" w:rsidP="00E36D70">
            <w:pPr>
              <w:rPr>
                <w:rFonts w:ascii="Calibri" w:hAnsi="Calibri" w:cs="Calibri"/>
                <w:color w:val="000000"/>
              </w:rPr>
            </w:pPr>
            <w:r w:rsidRPr="00E36D70">
              <w:rPr>
                <w:rFonts w:ascii="Calibri" w:hAnsi="Calibri" w:cs="Calibri"/>
                <w:color w:val="000000"/>
              </w:rPr>
              <w:t>Nie dotyczy</w:t>
            </w:r>
          </w:p>
        </w:tc>
        <w:tc>
          <w:tcPr>
            <w:tcW w:w="4394" w:type="dxa"/>
          </w:tcPr>
          <w:p w14:paraId="37781807" w14:textId="41DAB4A4" w:rsidR="00E36D70" w:rsidRPr="00E36D70" w:rsidRDefault="00E36D70" w:rsidP="00E36D70">
            <w:pPr>
              <w:rPr>
                <w:rFonts w:ascii="Calibri" w:hAnsi="Calibri" w:cs="Calibri"/>
                <w:color w:val="000000"/>
              </w:rPr>
            </w:pPr>
            <w:r w:rsidRPr="00E36D70">
              <w:rPr>
                <w:rFonts w:ascii="Calibri" w:hAnsi="Calibri" w:cs="Calibri"/>
                <w:color w:val="000000"/>
              </w:rPr>
              <w:t>Nie dotyczy</w:t>
            </w: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141A92">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4C1D48" w:rsidRPr="002B50C0" w14:paraId="50A66C72" w14:textId="77777777" w:rsidTr="006251DB">
        <w:tc>
          <w:tcPr>
            <w:tcW w:w="2547" w:type="dxa"/>
          </w:tcPr>
          <w:p w14:paraId="1842D450" w14:textId="77777777" w:rsidR="00E36D70" w:rsidRDefault="00E36D70" w:rsidP="00E36D70">
            <w:pPr>
              <w:pStyle w:val="Default"/>
            </w:pPr>
            <w:r>
              <w:rPr>
                <w:sz w:val="22"/>
                <w:szCs w:val="22"/>
              </w:rPr>
              <w:t xml:space="preserve">Serwery czasu (6x NTP i 3x PTP) z usługą oprogramowania, konfiguracji i szkoleń użytkowników </w:t>
            </w:r>
          </w:p>
          <w:p w14:paraId="1DDDDEE9" w14:textId="77777777" w:rsidR="00A86449" w:rsidRDefault="00A86449" w:rsidP="00A44EA2">
            <w:pPr>
              <w:rPr>
                <w:rFonts w:ascii="Arial" w:hAnsi="Arial" w:cs="Arial"/>
                <w:color w:val="0070C0"/>
                <w:sz w:val="18"/>
                <w:szCs w:val="18"/>
              </w:rPr>
            </w:pPr>
          </w:p>
          <w:p w14:paraId="20B36869" w14:textId="5269530C" w:rsidR="00A86449" w:rsidRPr="00141A92" w:rsidRDefault="00A86449" w:rsidP="00A44EA2">
            <w:pPr>
              <w:rPr>
                <w:rFonts w:ascii="Arial" w:hAnsi="Arial" w:cs="Arial"/>
                <w:color w:val="0070C0"/>
                <w:sz w:val="18"/>
                <w:szCs w:val="18"/>
              </w:rPr>
            </w:pPr>
          </w:p>
        </w:tc>
        <w:tc>
          <w:tcPr>
            <w:tcW w:w="1701" w:type="dxa"/>
          </w:tcPr>
          <w:p w14:paraId="1DB94B1B" w14:textId="4DBC3499" w:rsidR="00A86449" w:rsidRPr="00E36D70" w:rsidRDefault="00E36D70" w:rsidP="00E36D70">
            <w:pPr>
              <w:pStyle w:val="Default"/>
              <w:rPr>
                <w:sz w:val="22"/>
                <w:szCs w:val="22"/>
              </w:rPr>
            </w:pPr>
            <w:r w:rsidRPr="00E36D70">
              <w:rPr>
                <w:sz w:val="22"/>
                <w:szCs w:val="22"/>
              </w:rPr>
              <w:t>0</w:t>
            </w:r>
            <w:r w:rsidR="0056133C">
              <w:rPr>
                <w:sz w:val="22"/>
                <w:szCs w:val="22"/>
              </w:rPr>
              <w:t>9</w:t>
            </w:r>
            <w:r>
              <w:rPr>
                <w:sz w:val="22"/>
                <w:szCs w:val="22"/>
              </w:rPr>
              <w:t>-</w:t>
            </w:r>
            <w:r w:rsidRPr="00E36D70">
              <w:rPr>
                <w:sz w:val="22"/>
                <w:szCs w:val="22"/>
              </w:rPr>
              <w:t>2021</w:t>
            </w:r>
          </w:p>
        </w:tc>
        <w:tc>
          <w:tcPr>
            <w:tcW w:w="1843" w:type="dxa"/>
          </w:tcPr>
          <w:p w14:paraId="6882FECF" w14:textId="795114AD" w:rsidR="004C1D48" w:rsidRPr="00E36D70" w:rsidRDefault="00E36D70" w:rsidP="00E36D70">
            <w:pPr>
              <w:pStyle w:val="Default"/>
              <w:rPr>
                <w:sz w:val="22"/>
                <w:szCs w:val="22"/>
              </w:rPr>
            </w:pPr>
            <w:r w:rsidRPr="00E36D70">
              <w:rPr>
                <w:sz w:val="22"/>
                <w:szCs w:val="22"/>
              </w:rPr>
              <w:t>Nie dotyczy</w:t>
            </w:r>
          </w:p>
        </w:tc>
        <w:tc>
          <w:tcPr>
            <w:tcW w:w="3543" w:type="dxa"/>
          </w:tcPr>
          <w:p w14:paraId="43CDFE6D" w14:textId="4B61038B" w:rsidR="004C1D48" w:rsidRPr="00E36D70" w:rsidRDefault="004C1D48" w:rsidP="00E36D70">
            <w:pPr>
              <w:pStyle w:val="Default"/>
              <w:rPr>
                <w:sz w:val="22"/>
                <w:szCs w:val="22"/>
              </w:rPr>
            </w:pPr>
          </w:p>
        </w:tc>
      </w:tr>
      <w:tr w:rsidR="00E36D70" w:rsidRPr="002B50C0" w14:paraId="13623350" w14:textId="77777777" w:rsidTr="006251DB">
        <w:tc>
          <w:tcPr>
            <w:tcW w:w="2547" w:type="dxa"/>
          </w:tcPr>
          <w:p w14:paraId="1AA7928A" w14:textId="6280F13C" w:rsidR="00E36D70" w:rsidRPr="00E36D70" w:rsidRDefault="00E36D70" w:rsidP="00E36D70">
            <w:pPr>
              <w:pStyle w:val="Default"/>
              <w:rPr>
                <w:sz w:val="22"/>
                <w:szCs w:val="22"/>
              </w:rPr>
            </w:pPr>
            <w:r w:rsidRPr="00E36D70">
              <w:rPr>
                <w:sz w:val="22"/>
                <w:szCs w:val="22"/>
              </w:rPr>
              <w:t>Infrastruktura sieciowo serwerowa ( router Firewall, serwery fizyczne wraz z oprogramowaniem)</w:t>
            </w:r>
          </w:p>
        </w:tc>
        <w:tc>
          <w:tcPr>
            <w:tcW w:w="1701" w:type="dxa"/>
          </w:tcPr>
          <w:p w14:paraId="29AD884F" w14:textId="0CB56C95" w:rsidR="00E36D70" w:rsidRPr="00E36D70" w:rsidRDefault="0056133C" w:rsidP="00E36D70">
            <w:pPr>
              <w:pStyle w:val="Default"/>
              <w:rPr>
                <w:sz w:val="22"/>
                <w:szCs w:val="22"/>
              </w:rPr>
            </w:pPr>
            <w:r>
              <w:rPr>
                <w:sz w:val="22"/>
                <w:szCs w:val="22"/>
              </w:rPr>
              <w:t>0</w:t>
            </w:r>
            <w:r w:rsidR="00E36D70">
              <w:rPr>
                <w:sz w:val="22"/>
                <w:szCs w:val="22"/>
              </w:rPr>
              <w:t>1</w:t>
            </w:r>
            <w:r>
              <w:rPr>
                <w:sz w:val="22"/>
                <w:szCs w:val="22"/>
              </w:rPr>
              <w:t>-2022</w:t>
            </w:r>
          </w:p>
        </w:tc>
        <w:tc>
          <w:tcPr>
            <w:tcW w:w="1843" w:type="dxa"/>
          </w:tcPr>
          <w:p w14:paraId="0152FFD1" w14:textId="65A42F8C" w:rsidR="00E36D70" w:rsidRPr="00E36D70" w:rsidRDefault="00E36D70" w:rsidP="00E36D70">
            <w:pPr>
              <w:pStyle w:val="Default"/>
              <w:rPr>
                <w:sz w:val="22"/>
                <w:szCs w:val="22"/>
              </w:rPr>
            </w:pPr>
            <w:r w:rsidRPr="00E36D70">
              <w:rPr>
                <w:sz w:val="22"/>
                <w:szCs w:val="22"/>
              </w:rPr>
              <w:t>Nie dotyczy</w:t>
            </w:r>
          </w:p>
        </w:tc>
        <w:tc>
          <w:tcPr>
            <w:tcW w:w="3543" w:type="dxa"/>
          </w:tcPr>
          <w:p w14:paraId="682CA27B" w14:textId="77777777" w:rsidR="00E36D70" w:rsidRPr="00E36D70" w:rsidRDefault="00E36D70" w:rsidP="00E36D70">
            <w:pPr>
              <w:pStyle w:val="Default"/>
              <w:rPr>
                <w:sz w:val="22"/>
                <w:szCs w:val="22"/>
              </w:rPr>
            </w:pPr>
          </w:p>
        </w:tc>
      </w:tr>
      <w:tr w:rsidR="00E36D70" w:rsidRPr="002B50C0" w14:paraId="1DC4E258" w14:textId="77777777" w:rsidTr="006251DB">
        <w:tc>
          <w:tcPr>
            <w:tcW w:w="2547" w:type="dxa"/>
          </w:tcPr>
          <w:p w14:paraId="74872238" w14:textId="06A7A740" w:rsidR="00E36D70" w:rsidRPr="00E36D70" w:rsidRDefault="00E36D70" w:rsidP="00E36D70">
            <w:pPr>
              <w:pStyle w:val="Default"/>
              <w:rPr>
                <w:sz w:val="22"/>
                <w:szCs w:val="22"/>
              </w:rPr>
            </w:pPr>
            <w:r w:rsidRPr="00E36D70">
              <w:rPr>
                <w:sz w:val="22"/>
                <w:szCs w:val="22"/>
              </w:rPr>
              <w:t>Kompletny system PTP</w:t>
            </w:r>
          </w:p>
        </w:tc>
        <w:tc>
          <w:tcPr>
            <w:tcW w:w="1701" w:type="dxa"/>
          </w:tcPr>
          <w:p w14:paraId="7F38B208" w14:textId="27135763" w:rsidR="00E36D70" w:rsidRPr="00E36D70" w:rsidRDefault="00E36D70" w:rsidP="00E36D70">
            <w:pPr>
              <w:pStyle w:val="Default"/>
              <w:rPr>
                <w:sz w:val="22"/>
                <w:szCs w:val="22"/>
              </w:rPr>
            </w:pPr>
            <w:r>
              <w:rPr>
                <w:sz w:val="22"/>
                <w:szCs w:val="22"/>
              </w:rPr>
              <w:t>0</w:t>
            </w:r>
            <w:r w:rsidR="0056133C">
              <w:rPr>
                <w:sz w:val="22"/>
                <w:szCs w:val="22"/>
              </w:rPr>
              <w:t>6</w:t>
            </w:r>
            <w:r>
              <w:rPr>
                <w:sz w:val="22"/>
                <w:szCs w:val="22"/>
              </w:rPr>
              <w:t>-2022</w:t>
            </w:r>
          </w:p>
        </w:tc>
        <w:tc>
          <w:tcPr>
            <w:tcW w:w="1843" w:type="dxa"/>
          </w:tcPr>
          <w:p w14:paraId="3D12C821" w14:textId="45127E79" w:rsidR="00E36D70" w:rsidRPr="00E36D70" w:rsidRDefault="00E36D70" w:rsidP="00E36D70">
            <w:pPr>
              <w:pStyle w:val="Default"/>
              <w:rPr>
                <w:sz w:val="22"/>
                <w:szCs w:val="22"/>
              </w:rPr>
            </w:pPr>
            <w:r w:rsidRPr="00E36D70">
              <w:rPr>
                <w:sz w:val="22"/>
                <w:szCs w:val="22"/>
              </w:rPr>
              <w:t>Nie dotyczy</w:t>
            </w:r>
          </w:p>
        </w:tc>
        <w:tc>
          <w:tcPr>
            <w:tcW w:w="3543" w:type="dxa"/>
          </w:tcPr>
          <w:p w14:paraId="14947122" w14:textId="77777777" w:rsidR="00E36D70" w:rsidRPr="00E36D70" w:rsidRDefault="00E36D70" w:rsidP="00E36D70">
            <w:pPr>
              <w:pStyle w:val="Default"/>
              <w:rPr>
                <w:sz w:val="22"/>
                <w:szCs w:val="22"/>
              </w:rPr>
            </w:pPr>
          </w:p>
        </w:tc>
      </w:tr>
      <w:tr w:rsidR="00E36D70" w:rsidRPr="002B50C0" w14:paraId="185A1E24" w14:textId="77777777" w:rsidTr="006251DB">
        <w:tc>
          <w:tcPr>
            <w:tcW w:w="2547" w:type="dxa"/>
          </w:tcPr>
          <w:p w14:paraId="59BE4183" w14:textId="77777777" w:rsidR="00E36D70" w:rsidRPr="00E36D70" w:rsidRDefault="00E36D70" w:rsidP="00E36D70">
            <w:pPr>
              <w:pStyle w:val="Default"/>
              <w:rPr>
                <w:sz w:val="22"/>
                <w:szCs w:val="22"/>
              </w:rPr>
            </w:pPr>
            <w:r w:rsidRPr="00E36D70">
              <w:rPr>
                <w:sz w:val="22"/>
                <w:szCs w:val="22"/>
              </w:rPr>
              <w:t>Specjalistyczny sprzęt dla procesów związanych z generowaniem i</w:t>
            </w:r>
          </w:p>
          <w:p w14:paraId="72E41F9F" w14:textId="77777777" w:rsidR="00E36D70" w:rsidRPr="00E36D70" w:rsidRDefault="00E36D70" w:rsidP="00E36D70">
            <w:pPr>
              <w:pStyle w:val="Default"/>
              <w:rPr>
                <w:sz w:val="22"/>
                <w:szCs w:val="22"/>
              </w:rPr>
            </w:pPr>
            <w:r w:rsidRPr="00E36D70">
              <w:rPr>
                <w:sz w:val="22"/>
                <w:szCs w:val="22"/>
              </w:rPr>
              <w:t>dystrybucją sygnałów czasu - Maser Wodorowy, Zegar Cezowy (2 szt.),</w:t>
            </w:r>
          </w:p>
          <w:p w14:paraId="1BFA0266" w14:textId="349DF938" w:rsidR="00E36D70" w:rsidRPr="00E36D70" w:rsidRDefault="00E36D70" w:rsidP="00E36D70">
            <w:pPr>
              <w:pStyle w:val="Default"/>
              <w:rPr>
                <w:sz w:val="22"/>
                <w:szCs w:val="22"/>
              </w:rPr>
            </w:pPr>
            <w:r w:rsidRPr="00E36D70">
              <w:rPr>
                <w:sz w:val="22"/>
                <w:szCs w:val="22"/>
              </w:rPr>
              <w:t>Dystrybutory częstotliwości</w:t>
            </w:r>
          </w:p>
        </w:tc>
        <w:tc>
          <w:tcPr>
            <w:tcW w:w="1701" w:type="dxa"/>
          </w:tcPr>
          <w:p w14:paraId="613AC8F6" w14:textId="6D2043B5" w:rsidR="00E36D70" w:rsidRPr="00E36D70" w:rsidRDefault="0056133C" w:rsidP="00E36D70">
            <w:pPr>
              <w:pStyle w:val="Default"/>
              <w:rPr>
                <w:sz w:val="22"/>
                <w:szCs w:val="22"/>
              </w:rPr>
            </w:pPr>
            <w:r>
              <w:rPr>
                <w:sz w:val="22"/>
                <w:szCs w:val="22"/>
              </w:rPr>
              <w:t>02</w:t>
            </w:r>
            <w:r w:rsidR="00E36D70">
              <w:rPr>
                <w:sz w:val="22"/>
                <w:szCs w:val="22"/>
              </w:rPr>
              <w:t>-</w:t>
            </w:r>
            <w:r>
              <w:rPr>
                <w:sz w:val="22"/>
                <w:szCs w:val="22"/>
              </w:rPr>
              <w:t>2023</w:t>
            </w:r>
          </w:p>
        </w:tc>
        <w:tc>
          <w:tcPr>
            <w:tcW w:w="1843" w:type="dxa"/>
          </w:tcPr>
          <w:p w14:paraId="273C7144" w14:textId="1A58EE03" w:rsidR="00E36D70" w:rsidRPr="00E36D70" w:rsidRDefault="00E36D70" w:rsidP="00E36D70">
            <w:pPr>
              <w:pStyle w:val="Default"/>
              <w:rPr>
                <w:sz w:val="22"/>
                <w:szCs w:val="22"/>
              </w:rPr>
            </w:pPr>
            <w:r w:rsidRPr="00E36D70">
              <w:rPr>
                <w:sz w:val="22"/>
                <w:szCs w:val="22"/>
              </w:rPr>
              <w:t>Nie dotyczy</w:t>
            </w:r>
          </w:p>
        </w:tc>
        <w:tc>
          <w:tcPr>
            <w:tcW w:w="3543" w:type="dxa"/>
          </w:tcPr>
          <w:p w14:paraId="54D206C2" w14:textId="77777777" w:rsidR="00E36D70" w:rsidRPr="00E36D70" w:rsidRDefault="00E36D70" w:rsidP="00E36D70">
            <w:pPr>
              <w:pStyle w:val="Default"/>
              <w:rPr>
                <w:sz w:val="22"/>
                <w:szCs w:val="22"/>
              </w:rPr>
            </w:pPr>
          </w:p>
        </w:tc>
      </w:tr>
      <w:tr w:rsidR="00E36D70" w:rsidRPr="002B50C0" w14:paraId="5B9629D5" w14:textId="77777777" w:rsidTr="006251DB">
        <w:tc>
          <w:tcPr>
            <w:tcW w:w="2547" w:type="dxa"/>
          </w:tcPr>
          <w:p w14:paraId="2BE5639B" w14:textId="13BA7EB1" w:rsidR="00E36D70" w:rsidRPr="00E36D70" w:rsidRDefault="00E36D70" w:rsidP="00E36D70">
            <w:pPr>
              <w:pStyle w:val="Default"/>
              <w:rPr>
                <w:sz w:val="22"/>
                <w:szCs w:val="22"/>
              </w:rPr>
            </w:pPr>
            <w:r w:rsidRPr="00E36D70">
              <w:rPr>
                <w:sz w:val="22"/>
                <w:szCs w:val="22"/>
              </w:rPr>
              <w:t>Wieloplatformowa aplikacja na potrzeby synchronizacji urządzeń (bezpłatna, do pobrania przez użytkowników)</w:t>
            </w:r>
          </w:p>
        </w:tc>
        <w:tc>
          <w:tcPr>
            <w:tcW w:w="1701" w:type="dxa"/>
          </w:tcPr>
          <w:p w14:paraId="1A2B0D8C" w14:textId="09D25B29" w:rsidR="00E36D70" w:rsidRPr="00E36D70" w:rsidRDefault="00E36D70" w:rsidP="00E36D70">
            <w:pPr>
              <w:pStyle w:val="Default"/>
              <w:rPr>
                <w:sz w:val="22"/>
                <w:szCs w:val="22"/>
              </w:rPr>
            </w:pPr>
            <w:r>
              <w:rPr>
                <w:sz w:val="22"/>
                <w:szCs w:val="22"/>
              </w:rPr>
              <w:t>0</w:t>
            </w:r>
            <w:r w:rsidR="0056133C">
              <w:rPr>
                <w:sz w:val="22"/>
                <w:szCs w:val="22"/>
              </w:rPr>
              <w:t>4</w:t>
            </w:r>
            <w:r>
              <w:rPr>
                <w:sz w:val="22"/>
                <w:szCs w:val="22"/>
              </w:rPr>
              <w:t>-2023</w:t>
            </w:r>
          </w:p>
        </w:tc>
        <w:tc>
          <w:tcPr>
            <w:tcW w:w="1843" w:type="dxa"/>
          </w:tcPr>
          <w:p w14:paraId="00B37E58" w14:textId="204DAD69" w:rsidR="00E36D70" w:rsidRPr="00E36D70" w:rsidRDefault="00E36D70" w:rsidP="00E36D70">
            <w:pPr>
              <w:pStyle w:val="Default"/>
              <w:rPr>
                <w:sz w:val="22"/>
                <w:szCs w:val="22"/>
              </w:rPr>
            </w:pPr>
            <w:r w:rsidRPr="00E36D70">
              <w:rPr>
                <w:sz w:val="22"/>
                <w:szCs w:val="22"/>
              </w:rPr>
              <w:t>Nie dotyczy</w:t>
            </w:r>
          </w:p>
        </w:tc>
        <w:tc>
          <w:tcPr>
            <w:tcW w:w="3543" w:type="dxa"/>
          </w:tcPr>
          <w:p w14:paraId="01029837" w14:textId="77777777" w:rsidR="00E36D70" w:rsidRPr="00E36D70" w:rsidRDefault="00E36D70" w:rsidP="00E36D70">
            <w:pPr>
              <w:pStyle w:val="Default"/>
              <w:rPr>
                <w:sz w:val="22"/>
                <w:szCs w:val="22"/>
              </w:rPr>
            </w:pPr>
          </w:p>
        </w:tc>
      </w:tr>
      <w:tr w:rsidR="00E36D70" w:rsidRPr="002B50C0" w14:paraId="3F150C37" w14:textId="77777777" w:rsidTr="006251DB">
        <w:tc>
          <w:tcPr>
            <w:tcW w:w="2547" w:type="dxa"/>
          </w:tcPr>
          <w:p w14:paraId="2A1F9F54" w14:textId="77777777" w:rsidR="00E36D70" w:rsidRPr="00E36D70" w:rsidRDefault="00E36D70" w:rsidP="00E36D70">
            <w:pPr>
              <w:pStyle w:val="Default"/>
              <w:rPr>
                <w:sz w:val="22"/>
                <w:szCs w:val="22"/>
              </w:rPr>
            </w:pPr>
            <w:r w:rsidRPr="00E36D70">
              <w:rPr>
                <w:sz w:val="22"/>
                <w:szCs w:val="22"/>
              </w:rPr>
              <w:t>Kompletny system dystrybucji czasu za pomocą kodowanych sygnałów</w:t>
            </w:r>
          </w:p>
          <w:p w14:paraId="1A3010BE" w14:textId="77777777" w:rsidR="00E36D70" w:rsidRPr="00E36D70" w:rsidRDefault="00E36D70" w:rsidP="00E36D70">
            <w:pPr>
              <w:pStyle w:val="Default"/>
              <w:rPr>
                <w:sz w:val="22"/>
                <w:szCs w:val="22"/>
              </w:rPr>
            </w:pPr>
            <w:r w:rsidRPr="00E36D70">
              <w:rPr>
                <w:sz w:val="22"/>
                <w:szCs w:val="22"/>
              </w:rPr>
              <w:t>radiowych w paśmie fal długich wraz z opublikowaniem dokumentacji</w:t>
            </w:r>
          </w:p>
          <w:p w14:paraId="00F06D97" w14:textId="40FEF77B" w:rsidR="00E36D70" w:rsidRPr="00E36D70" w:rsidRDefault="00E36D70" w:rsidP="00E36D70">
            <w:pPr>
              <w:pStyle w:val="Default"/>
              <w:rPr>
                <w:sz w:val="22"/>
                <w:szCs w:val="22"/>
              </w:rPr>
            </w:pPr>
            <w:r w:rsidRPr="00E36D70">
              <w:rPr>
                <w:sz w:val="22"/>
                <w:szCs w:val="22"/>
              </w:rPr>
              <w:t>technicznej parametrów sygnału</w:t>
            </w:r>
          </w:p>
        </w:tc>
        <w:tc>
          <w:tcPr>
            <w:tcW w:w="1701" w:type="dxa"/>
          </w:tcPr>
          <w:p w14:paraId="22A8FCC5" w14:textId="65FFF6A7" w:rsidR="00E36D70" w:rsidRPr="00E36D70" w:rsidRDefault="0056133C" w:rsidP="00E36D70">
            <w:pPr>
              <w:pStyle w:val="Default"/>
              <w:rPr>
                <w:sz w:val="22"/>
                <w:szCs w:val="22"/>
              </w:rPr>
            </w:pPr>
            <w:r>
              <w:rPr>
                <w:sz w:val="22"/>
                <w:szCs w:val="22"/>
              </w:rPr>
              <w:t>04</w:t>
            </w:r>
            <w:r w:rsidR="00E36D70">
              <w:rPr>
                <w:sz w:val="22"/>
                <w:szCs w:val="22"/>
              </w:rPr>
              <w:t>-2023</w:t>
            </w:r>
          </w:p>
        </w:tc>
        <w:tc>
          <w:tcPr>
            <w:tcW w:w="1843" w:type="dxa"/>
          </w:tcPr>
          <w:p w14:paraId="47F5CCE9" w14:textId="49D68D2F" w:rsidR="00E36D70" w:rsidRPr="00E36D70" w:rsidRDefault="00E36D70" w:rsidP="00E36D70">
            <w:pPr>
              <w:pStyle w:val="Default"/>
              <w:rPr>
                <w:sz w:val="22"/>
                <w:szCs w:val="22"/>
              </w:rPr>
            </w:pPr>
            <w:r w:rsidRPr="00E36D70">
              <w:rPr>
                <w:sz w:val="22"/>
                <w:szCs w:val="22"/>
              </w:rPr>
              <w:t>Nie dotyczy</w:t>
            </w:r>
          </w:p>
        </w:tc>
        <w:tc>
          <w:tcPr>
            <w:tcW w:w="3543" w:type="dxa"/>
          </w:tcPr>
          <w:p w14:paraId="3BC2E697" w14:textId="77777777" w:rsidR="00E36D70" w:rsidRPr="00E36D70" w:rsidRDefault="00E36D70" w:rsidP="00E36D70">
            <w:pPr>
              <w:pStyle w:val="Default"/>
              <w:rPr>
                <w:sz w:val="22"/>
                <w:szCs w:val="22"/>
              </w:rPr>
            </w:pPr>
          </w:p>
        </w:tc>
      </w:tr>
      <w:tr w:rsidR="00E36D70" w:rsidRPr="002B50C0" w14:paraId="0411EF42" w14:textId="77777777" w:rsidTr="006251DB">
        <w:tc>
          <w:tcPr>
            <w:tcW w:w="2547" w:type="dxa"/>
          </w:tcPr>
          <w:p w14:paraId="0BDFC196" w14:textId="77777777" w:rsidR="00E36D70" w:rsidRPr="00E36D70" w:rsidRDefault="00E36D70" w:rsidP="00E36D70">
            <w:pPr>
              <w:pStyle w:val="Default"/>
              <w:rPr>
                <w:sz w:val="22"/>
                <w:szCs w:val="22"/>
              </w:rPr>
            </w:pPr>
            <w:r w:rsidRPr="00E36D70">
              <w:rPr>
                <w:sz w:val="22"/>
                <w:szCs w:val="22"/>
              </w:rPr>
              <w:t>Portal Czasu Urzędowego wraz z systemem monitorowania przez NTP</w:t>
            </w:r>
          </w:p>
          <w:p w14:paraId="771634C5" w14:textId="221259E1" w:rsidR="00E36D70" w:rsidRPr="00E36D70" w:rsidRDefault="00E36D70" w:rsidP="00E36D70">
            <w:pPr>
              <w:pStyle w:val="Default"/>
              <w:rPr>
                <w:sz w:val="22"/>
                <w:szCs w:val="22"/>
              </w:rPr>
            </w:pPr>
            <w:r w:rsidRPr="00E36D70">
              <w:rPr>
                <w:sz w:val="22"/>
                <w:szCs w:val="22"/>
              </w:rPr>
              <w:t>synchronizacji do czasu UTC(PL) z uwierzytelnieniem lub bez</w:t>
            </w:r>
          </w:p>
        </w:tc>
        <w:tc>
          <w:tcPr>
            <w:tcW w:w="1701" w:type="dxa"/>
          </w:tcPr>
          <w:p w14:paraId="29F36666" w14:textId="27A65ECE" w:rsidR="00E36D70" w:rsidRPr="001B6667" w:rsidRDefault="0056133C" w:rsidP="00E36D70">
            <w:pPr>
              <w:pStyle w:val="Default"/>
              <w:rPr>
                <w:rFonts w:cs="Arial"/>
                <w:color w:val="0070C0"/>
                <w:lang w:eastAsia="pl-PL"/>
              </w:rPr>
            </w:pPr>
            <w:r w:rsidRPr="00E36D70">
              <w:rPr>
                <w:sz w:val="22"/>
                <w:szCs w:val="22"/>
              </w:rPr>
              <w:t>0</w:t>
            </w:r>
            <w:r>
              <w:rPr>
                <w:sz w:val="22"/>
                <w:szCs w:val="22"/>
              </w:rPr>
              <w:t>4</w:t>
            </w:r>
            <w:r w:rsidR="00E36D70" w:rsidRPr="00E36D70">
              <w:rPr>
                <w:sz w:val="22"/>
                <w:szCs w:val="22"/>
              </w:rPr>
              <w:t>-2023</w:t>
            </w:r>
          </w:p>
        </w:tc>
        <w:tc>
          <w:tcPr>
            <w:tcW w:w="1843" w:type="dxa"/>
          </w:tcPr>
          <w:p w14:paraId="79AC2234" w14:textId="61FFDD00" w:rsidR="00E36D70" w:rsidRPr="001B6667" w:rsidRDefault="00E36D70" w:rsidP="00E36D70">
            <w:pPr>
              <w:pStyle w:val="Default"/>
              <w:rPr>
                <w:rFonts w:cs="Arial"/>
                <w:color w:val="0070C0"/>
                <w:lang w:eastAsia="pl-PL"/>
              </w:rPr>
            </w:pPr>
            <w:r w:rsidRPr="00E36D70">
              <w:rPr>
                <w:sz w:val="22"/>
                <w:szCs w:val="22"/>
              </w:rPr>
              <w:t>Nie dotyczy</w:t>
            </w:r>
          </w:p>
        </w:tc>
        <w:tc>
          <w:tcPr>
            <w:tcW w:w="3543" w:type="dxa"/>
          </w:tcPr>
          <w:p w14:paraId="5BA92C36" w14:textId="77777777" w:rsidR="00E36D70" w:rsidRDefault="00E36D70" w:rsidP="006251DB">
            <w:pPr>
              <w:rPr>
                <w:rFonts w:ascii="Arial" w:hAnsi="Arial" w:cs="Arial"/>
                <w:color w:val="0070C0"/>
                <w:sz w:val="18"/>
                <w:szCs w:val="18"/>
              </w:rPr>
            </w:pP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2977"/>
        <w:gridCol w:w="1418"/>
        <w:gridCol w:w="1275"/>
        <w:gridCol w:w="3828"/>
      </w:tblGrid>
      <w:tr w:rsidR="00322614" w:rsidRPr="002B50C0" w14:paraId="1581B854" w14:textId="77777777" w:rsidTr="009F5EE5">
        <w:trPr>
          <w:tblHeader/>
        </w:trPr>
        <w:tc>
          <w:tcPr>
            <w:tcW w:w="2977" w:type="dxa"/>
            <w:shd w:val="clear" w:color="auto" w:fill="D0CECE" w:themeFill="background2" w:themeFillShade="E6"/>
            <w:vAlign w:val="center"/>
          </w:tcPr>
          <w:p w14:paraId="17E590FF"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418" w:type="dxa"/>
            <w:shd w:val="clear" w:color="auto" w:fill="D0CECE" w:themeFill="background2" w:themeFillShade="E6"/>
            <w:vAlign w:val="center"/>
          </w:tcPr>
          <w:p w14:paraId="5CF84D84" w14:textId="68D9FB69"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1275" w:type="dxa"/>
            <w:shd w:val="clear" w:color="auto" w:fill="D0CECE" w:themeFill="background2" w:themeFillShade="E6"/>
          </w:tcPr>
          <w:p w14:paraId="35BFD90C" w14:textId="053D019F"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3828" w:type="dxa"/>
            <w:shd w:val="clear" w:color="auto" w:fill="D0CECE" w:themeFill="background2" w:themeFillShade="E6"/>
            <w:vAlign w:val="center"/>
          </w:tcPr>
          <w:p w14:paraId="3CC2BAB6" w14:textId="34B6AC4C"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322614" w:rsidRPr="002B50C0" w14:paraId="3897D7DF" w14:textId="77777777" w:rsidTr="009F5EE5">
        <w:tc>
          <w:tcPr>
            <w:tcW w:w="2977" w:type="dxa"/>
            <w:vAlign w:val="center"/>
          </w:tcPr>
          <w:tbl>
            <w:tblPr>
              <w:tblW w:w="0" w:type="auto"/>
              <w:tblBorders>
                <w:top w:val="nil"/>
                <w:left w:val="nil"/>
                <w:bottom w:val="nil"/>
                <w:right w:val="nil"/>
              </w:tblBorders>
              <w:tblLook w:val="0000" w:firstRow="0" w:lastRow="0" w:firstColumn="0" w:lastColumn="0" w:noHBand="0" w:noVBand="0"/>
            </w:tblPr>
            <w:tblGrid>
              <w:gridCol w:w="2761"/>
            </w:tblGrid>
            <w:tr w:rsidR="00DA534C" w:rsidRPr="00DA534C" w14:paraId="56E2567F" w14:textId="77777777">
              <w:trPr>
                <w:trHeight w:val="1185"/>
              </w:trPr>
              <w:tc>
                <w:tcPr>
                  <w:tcW w:w="0" w:type="auto"/>
                </w:tcPr>
                <w:p w14:paraId="366835BD" w14:textId="77777777" w:rsidR="00DA534C" w:rsidRPr="00DA534C" w:rsidRDefault="00DA534C" w:rsidP="00DA534C">
                  <w:pPr>
                    <w:autoSpaceDE w:val="0"/>
                    <w:autoSpaceDN w:val="0"/>
                    <w:adjustRightInd w:val="0"/>
                    <w:spacing w:after="0" w:line="240" w:lineRule="auto"/>
                    <w:rPr>
                      <w:rFonts w:ascii="Calibri" w:hAnsi="Calibri" w:cs="Calibri"/>
                      <w:color w:val="000000"/>
                    </w:rPr>
                  </w:pPr>
                  <w:r w:rsidRPr="00DA534C">
                    <w:rPr>
                      <w:rFonts w:ascii="Calibri" w:hAnsi="Calibri" w:cs="Calibri"/>
                      <w:color w:val="000000"/>
                    </w:rPr>
                    <w:t xml:space="preserve">Ryzyko przekroczenia zakładanych kosztów realizacji Projektu wynikające między innymi z nieprawidłowego oszacowania kosztów (w tym kosztów osobowych, usług, urządzeń, czy oprogramowania) </w:t>
                  </w:r>
                </w:p>
              </w:tc>
            </w:tr>
          </w:tbl>
          <w:p w14:paraId="25374FF2" w14:textId="7849085C" w:rsidR="00322614" w:rsidRPr="00141A92" w:rsidRDefault="00322614" w:rsidP="00C2175B">
            <w:pPr>
              <w:pStyle w:val="Default"/>
              <w:rPr>
                <w:rFonts w:ascii="Arial" w:hAnsi="Arial" w:cs="Arial"/>
                <w:color w:val="0070C0"/>
                <w:sz w:val="18"/>
                <w:szCs w:val="20"/>
              </w:rPr>
            </w:pPr>
          </w:p>
        </w:tc>
        <w:tc>
          <w:tcPr>
            <w:tcW w:w="1418" w:type="dxa"/>
            <w:vAlign w:val="center"/>
          </w:tcPr>
          <w:p w14:paraId="5602BE9F" w14:textId="518DDEA8" w:rsidR="00322614"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Średnia</w:t>
            </w:r>
          </w:p>
        </w:tc>
        <w:tc>
          <w:tcPr>
            <w:tcW w:w="1275" w:type="dxa"/>
            <w:vAlign w:val="center"/>
          </w:tcPr>
          <w:p w14:paraId="593D4C92" w14:textId="4AA3C020" w:rsidR="00322614"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Średnie</w:t>
            </w:r>
          </w:p>
        </w:tc>
        <w:tc>
          <w:tcPr>
            <w:tcW w:w="3828" w:type="dxa"/>
          </w:tcPr>
          <w:p w14:paraId="65D36358" w14:textId="7E31DD0B" w:rsidR="00DA534C" w:rsidRDefault="00207BF2"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 xml:space="preserve">W celu minimalizacji ryzyka przekroczenia kosztów u beneficjenta będzie prowadzona stała kontrola pracochłonności wytwarzania oprogramowania. Wpływ tego ryzyka na projekt </w:t>
            </w:r>
            <w:r>
              <w:rPr>
                <w:rFonts w:ascii="Calibri" w:hAnsi="Calibri" w:cs="Calibri"/>
                <w:color w:val="000000"/>
              </w:rPr>
              <w:t>jest</w:t>
            </w:r>
            <w:r w:rsidR="00DA534C" w:rsidRPr="00DA534C">
              <w:rPr>
                <w:rFonts w:ascii="Calibri" w:hAnsi="Calibri" w:cs="Calibri"/>
                <w:color w:val="000000"/>
              </w:rPr>
              <w:t xml:space="preserve"> łagodzony poprzez możliwość wykorzystania doświadczenia pracowników Laboratorium oraz wsparcia pracowników administracyjnych GUM, którzy brali udział w sporządzaniu dokumentacji zakupowej odnośnie zamówień publicznych na nietypowy sprzęt, który dotychczas był wykorzystywany w Laboratorium.</w:t>
            </w:r>
          </w:p>
          <w:p w14:paraId="6013A92A" w14:textId="77777777" w:rsidR="00322614"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Proponowana reakcja: działania zapobiegawcze i korygujące.</w:t>
            </w:r>
          </w:p>
          <w:p w14:paraId="6248503E" w14:textId="3B975A2F" w:rsidR="00366DB6" w:rsidRDefault="00207BF2" w:rsidP="00DA534C">
            <w:pPr>
              <w:autoSpaceDE w:val="0"/>
              <w:autoSpaceDN w:val="0"/>
              <w:adjustRightInd w:val="0"/>
              <w:rPr>
                <w:rFonts w:ascii="Calibri" w:hAnsi="Calibri" w:cs="Calibri"/>
                <w:color w:val="000000"/>
              </w:rPr>
            </w:pPr>
            <w:r>
              <w:rPr>
                <w:rFonts w:ascii="Calibri" w:hAnsi="Calibri" w:cs="Calibri"/>
                <w:color w:val="000000"/>
              </w:rPr>
              <w:t xml:space="preserve">2. </w:t>
            </w:r>
            <w:r w:rsidR="00366DB6">
              <w:rPr>
                <w:rFonts w:ascii="Calibri" w:hAnsi="Calibri" w:cs="Calibri"/>
                <w:color w:val="000000"/>
              </w:rPr>
              <w:t>Faktycznym efektem działań korygujących jest aktualnie brak</w:t>
            </w:r>
            <w:r w:rsidR="00994055">
              <w:rPr>
                <w:rFonts w:ascii="Calibri" w:hAnsi="Calibri" w:cs="Calibri"/>
                <w:color w:val="000000"/>
              </w:rPr>
              <w:t xml:space="preserve"> zagrożenia związanego z niedoszacowaniem kosztów nabywanego sprzętu i usług oraz kosztów osobowych. Kluczowym czynnikiem wpływającym na osiągnięcie tego efektu jest </w:t>
            </w:r>
            <w:r w:rsidR="006E0E46">
              <w:rPr>
                <w:rFonts w:ascii="Calibri" w:hAnsi="Calibri" w:cs="Calibri"/>
                <w:color w:val="000000"/>
              </w:rPr>
              <w:t xml:space="preserve">ciągłe </w:t>
            </w:r>
            <w:r w:rsidR="00994055">
              <w:rPr>
                <w:rFonts w:ascii="Calibri" w:hAnsi="Calibri" w:cs="Calibri"/>
                <w:color w:val="000000"/>
              </w:rPr>
              <w:t>korzystanie z doświadczenia kadry Samodzielnego Laboratorium Czasu i Częstotliwości GUM, która zaangażowana jest w powstawanie produktów projektu.</w:t>
            </w:r>
          </w:p>
          <w:p w14:paraId="4257AD15" w14:textId="4F0E63E1" w:rsidR="006E0E46" w:rsidRPr="00DA534C" w:rsidRDefault="00207BF2"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DA534C" w:rsidRPr="002B50C0" w14:paraId="108AA46C" w14:textId="77777777" w:rsidTr="009F5EE5">
        <w:tc>
          <w:tcPr>
            <w:tcW w:w="2977" w:type="dxa"/>
            <w:vAlign w:val="center"/>
          </w:tcPr>
          <w:p w14:paraId="10E2E408" w14:textId="58587C68" w:rsidR="00DA534C"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Ryzyko związane z niewystarczającymi zasobami kadrowymi beneficjenta.</w:t>
            </w:r>
          </w:p>
        </w:tc>
        <w:tc>
          <w:tcPr>
            <w:tcW w:w="1418" w:type="dxa"/>
            <w:vAlign w:val="center"/>
          </w:tcPr>
          <w:p w14:paraId="6B52B06A" w14:textId="0B4D486A" w:rsidR="00DA534C" w:rsidRPr="00DA534C" w:rsidRDefault="00DA534C" w:rsidP="00DA534C">
            <w:pPr>
              <w:autoSpaceDE w:val="0"/>
              <w:autoSpaceDN w:val="0"/>
              <w:adjustRightInd w:val="0"/>
              <w:jc w:val="center"/>
              <w:rPr>
                <w:rFonts w:ascii="Calibri" w:hAnsi="Calibri" w:cs="Calibri"/>
                <w:color w:val="000000"/>
              </w:rPr>
            </w:pPr>
            <w:r w:rsidRPr="00DA534C">
              <w:rPr>
                <w:rFonts w:ascii="Calibri" w:hAnsi="Calibri" w:cs="Calibri"/>
                <w:color w:val="000000"/>
              </w:rPr>
              <w:t>Średnia</w:t>
            </w:r>
          </w:p>
        </w:tc>
        <w:tc>
          <w:tcPr>
            <w:tcW w:w="1275" w:type="dxa"/>
            <w:vAlign w:val="center"/>
          </w:tcPr>
          <w:p w14:paraId="5E46C479" w14:textId="62552F57" w:rsidR="00DA534C" w:rsidRPr="00DA534C" w:rsidRDefault="00DA534C" w:rsidP="00DA534C">
            <w:pPr>
              <w:autoSpaceDE w:val="0"/>
              <w:autoSpaceDN w:val="0"/>
              <w:adjustRightInd w:val="0"/>
              <w:jc w:val="center"/>
              <w:rPr>
                <w:rFonts w:ascii="Calibri" w:hAnsi="Calibri" w:cs="Calibri"/>
                <w:color w:val="000000"/>
              </w:rPr>
            </w:pPr>
            <w:r w:rsidRPr="00DA534C">
              <w:rPr>
                <w:rFonts w:ascii="Calibri" w:hAnsi="Calibri" w:cs="Calibri"/>
                <w:color w:val="000000"/>
              </w:rPr>
              <w:t>Średnie</w:t>
            </w:r>
          </w:p>
        </w:tc>
        <w:tc>
          <w:tcPr>
            <w:tcW w:w="3828" w:type="dxa"/>
          </w:tcPr>
          <w:p w14:paraId="50CB8ECF" w14:textId="7420463B" w:rsidR="000F1ADE"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W celu minimalizacji ryzyka beneficjent już etapie planowania przyznaje odpowiednie zasoby osobowe do realizacji Projektu. Beneficjent planuje również zaangażowanie zewnętrznych doradców technicznych, którzy będą służyli wsparciem w zakresie niektórych prac. Ponadto planuje zastosowanie metodyki zarządzania, również w zakresie kształtowania zespołu. Proponowana reakcja: akceptacja ryzyka.</w:t>
            </w:r>
            <w:r>
              <w:rPr>
                <w:rFonts w:ascii="Calibri" w:hAnsi="Calibri" w:cs="Calibri"/>
                <w:color w:val="000000"/>
              </w:rPr>
              <w:t xml:space="preserve"> </w:t>
            </w:r>
            <w:r w:rsidR="000F1ADE">
              <w:rPr>
                <w:rFonts w:ascii="Calibri" w:hAnsi="Calibri" w:cs="Calibri"/>
                <w:color w:val="000000"/>
              </w:rPr>
              <w:t xml:space="preserve">Aktualnie podjęto działania zarządcze w postaci uruchomienia naborów do </w:t>
            </w:r>
            <w:r w:rsidR="00994055">
              <w:rPr>
                <w:rFonts w:ascii="Calibri" w:hAnsi="Calibri" w:cs="Calibri"/>
                <w:color w:val="000000"/>
              </w:rPr>
              <w:t>Biura Projektu</w:t>
            </w:r>
            <w:r w:rsidR="000F1ADE">
              <w:rPr>
                <w:rFonts w:ascii="Calibri" w:hAnsi="Calibri" w:cs="Calibri"/>
                <w:color w:val="000000"/>
              </w:rPr>
              <w:t>.</w:t>
            </w:r>
            <w:r w:rsidR="00994055">
              <w:rPr>
                <w:rFonts w:ascii="Calibri" w:hAnsi="Calibri" w:cs="Calibri"/>
                <w:color w:val="000000"/>
              </w:rPr>
              <w:t xml:space="preserve"> </w:t>
            </w:r>
            <w:r w:rsidR="000F1ADE">
              <w:rPr>
                <w:rFonts w:ascii="Calibri" w:hAnsi="Calibri" w:cs="Calibri"/>
                <w:color w:val="000000"/>
              </w:rPr>
              <w:t>O</w:t>
            </w:r>
            <w:r w:rsidR="00994055">
              <w:rPr>
                <w:rFonts w:ascii="Calibri" w:hAnsi="Calibri" w:cs="Calibri"/>
                <w:color w:val="000000"/>
              </w:rPr>
              <w:t xml:space="preserve">bowiązki związane z pełnieniem ww. ról </w:t>
            </w:r>
            <w:r w:rsidR="000F1ADE">
              <w:rPr>
                <w:rFonts w:ascii="Calibri" w:hAnsi="Calibri" w:cs="Calibri"/>
                <w:color w:val="000000"/>
              </w:rPr>
              <w:t xml:space="preserve">nieobsadzonych </w:t>
            </w:r>
            <w:r w:rsidR="00994055">
              <w:rPr>
                <w:rFonts w:ascii="Calibri" w:hAnsi="Calibri" w:cs="Calibri"/>
                <w:color w:val="000000"/>
              </w:rPr>
              <w:t>przejmują obecni pracownicy administracji GUM.</w:t>
            </w:r>
          </w:p>
          <w:p w14:paraId="0D10914C" w14:textId="2894A6FE" w:rsidR="00994055"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2. </w:t>
            </w:r>
            <w:r w:rsidR="000F1ADE">
              <w:rPr>
                <w:rFonts w:ascii="Calibri" w:hAnsi="Calibri" w:cs="Calibri"/>
                <w:color w:val="000000"/>
              </w:rPr>
              <w:t xml:space="preserve">Faktycznym efektem działań jest brak </w:t>
            </w:r>
            <w:r w:rsidR="00FB2DDA">
              <w:rPr>
                <w:rFonts w:ascii="Calibri" w:hAnsi="Calibri" w:cs="Calibri"/>
                <w:color w:val="000000"/>
              </w:rPr>
              <w:t>zagrożenia związanego z potencjalnym nieobsadzeniem kluczowych stanowisk w ramach personelu projektu bezpośrednio zaangażowanego w powstawanie produktów projektu.</w:t>
            </w:r>
          </w:p>
          <w:p w14:paraId="5BEC3A6F" w14:textId="786A1E4A" w:rsidR="006E0E46" w:rsidRPr="00DA534C"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DA534C" w:rsidRPr="002B50C0" w14:paraId="6574D1A3" w14:textId="77777777" w:rsidTr="006B1DE6">
        <w:tc>
          <w:tcPr>
            <w:tcW w:w="2977" w:type="dxa"/>
            <w:vAlign w:val="center"/>
          </w:tcPr>
          <w:p w14:paraId="7CF2C615" w14:textId="79658BF9" w:rsidR="00DA534C"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Ryzyko braku świadomości potrzeb korzystania z usług dystrybucji czasu świadczonych przez GUM</w:t>
            </w:r>
          </w:p>
        </w:tc>
        <w:tc>
          <w:tcPr>
            <w:tcW w:w="1418" w:type="dxa"/>
            <w:vAlign w:val="center"/>
          </w:tcPr>
          <w:p w14:paraId="08A61675" w14:textId="663C79B5" w:rsidR="00DA534C" w:rsidRPr="00DA534C" w:rsidRDefault="00DA534C" w:rsidP="006B1DE6">
            <w:pPr>
              <w:autoSpaceDE w:val="0"/>
              <w:autoSpaceDN w:val="0"/>
              <w:adjustRightInd w:val="0"/>
              <w:jc w:val="center"/>
              <w:rPr>
                <w:rFonts w:ascii="Calibri" w:hAnsi="Calibri" w:cs="Calibri"/>
                <w:color w:val="000000"/>
              </w:rPr>
            </w:pPr>
            <w:r w:rsidRPr="00E85207">
              <w:t>Średnia</w:t>
            </w:r>
          </w:p>
        </w:tc>
        <w:tc>
          <w:tcPr>
            <w:tcW w:w="1275" w:type="dxa"/>
            <w:vAlign w:val="center"/>
          </w:tcPr>
          <w:p w14:paraId="66B83FAC" w14:textId="3915F0D7" w:rsidR="00DA534C" w:rsidRPr="00DA534C" w:rsidRDefault="00DA534C" w:rsidP="006B1DE6">
            <w:pPr>
              <w:autoSpaceDE w:val="0"/>
              <w:autoSpaceDN w:val="0"/>
              <w:adjustRightInd w:val="0"/>
              <w:jc w:val="center"/>
              <w:rPr>
                <w:rFonts w:ascii="Calibri" w:hAnsi="Calibri" w:cs="Calibri"/>
                <w:color w:val="000000"/>
              </w:rPr>
            </w:pPr>
            <w:r w:rsidRPr="00E85207">
              <w:t>Średnia</w:t>
            </w:r>
          </w:p>
        </w:tc>
        <w:tc>
          <w:tcPr>
            <w:tcW w:w="3828" w:type="dxa"/>
          </w:tcPr>
          <w:p w14:paraId="500AFDC2" w14:textId="56B7BE23" w:rsidR="00DA534C" w:rsidRPr="00DA534C"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W celu minimalizacji ryzyka beneficjent przewidział budowę w ramach projektu środowiska o wysokiej dostępności („High-</w:t>
            </w:r>
            <w:proofErr w:type="spellStart"/>
            <w:r w:rsidR="00DA534C" w:rsidRPr="00DA534C">
              <w:rPr>
                <w:rFonts w:ascii="Calibri" w:hAnsi="Calibri" w:cs="Calibri"/>
                <w:color w:val="000000"/>
              </w:rPr>
              <w:t>Availability</w:t>
            </w:r>
            <w:proofErr w:type="spellEnd"/>
            <w:r w:rsidR="00DA534C" w:rsidRPr="00DA534C">
              <w:rPr>
                <w:rFonts w:ascii="Calibri" w:hAnsi="Calibri" w:cs="Calibri"/>
                <w:color w:val="000000"/>
              </w:rPr>
              <w:t>”) przez co usługi będą konkurencyjne i atrakcyjne dla użytkowników. Ponadto przewidziano różnorodne działania informacyjnopromocyjne świadczone poprzez różne kanały informacyjne: np. Portal GUM, informacja podawana na falach Polskiego Radia (w związku z usługą radiową), promocja projektu na wszystkich wydarzeniach branżowych i spotkaniach grup technicznych, w których GUM uczestniczy. Wraz</w:t>
            </w:r>
            <w:r w:rsidR="00DA534C">
              <w:t xml:space="preserve"> </w:t>
            </w:r>
            <w:r w:rsidR="00DA534C" w:rsidRPr="00DA534C">
              <w:rPr>
                <w:rFonts w:ascii="Calibri" w:hAnsi="Calibri" w:cs="Calibri"/>
                <w:color w:val="000000"/>
              </w:rPr>
              <w:t>wdrożeniem każdej z nowych usług zostanie mediach zaprezentowany materiał informacyjny dot. danej usługi, którego różne poziomy szczegółowość będą dostosowane do grup użytkowników o różnej świadomości tematyki synchronizacji czasu.</w:t>
            </w:r>
          </w:p>
          <w:p w14:paraId="6522CF42" w14:textId="22362396" w:rsidR="00994055"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Proponowana reakcja: monitorowanie wykorzystania usług oraz zainteresowania nowymi usługami oraz działania zapobiegawcze i korygujące.</w:t>
            </w:r>
            <w:r>
              <w:rPr>
                <w:rFonts w:ascii="Calibri" w:hAnsi="Calibri" w:cs="Calibri"/>
                <w:color w:val="000000"/>
              </w:rPr>
              <w:t xml:space="preserve"> </w:t>
            </w:r>
            <w:r w:rsidR="00A54B8F">
              <w:rPr>
                <w:rFonts w:ascii="Calibri" w:hAnsi="Calibri" w:cs="Calibri"/>
                <w:color w:val="000000"/>
              </w:rPr>
              <w:t xml:space="preserve"> </w:t>
            </w:r>
            <w:r w:rsidR="006B1DE6">
              <w:rPr>
                <w:rFonts w:ascii="Calibri" w:hAnsi="Calibri" w:cs="Calibri"/>
                <w:color w:val="000000"/>
              </w:rPr>
              <w:t>Aktualnie podjęto działania zarządcze w postaci</w:t>
            </w:r>
            <w:r w:rsidR="00994055">
              <w:rPr>
                <w:rFonts w:ascii="Calibri" w:hAnsi="Calibri" w:cs="Calibri"/>
                <w:color w:val="000000"/>
              </w:rPr>
              <w:t xml:space="preserve"> przygoto</w:t>
            </w:r>
            <w:r w:rsidR="006B1DE6">
              <w:rPr>
                <w:rFonts w:ascii="Calibri" w:hAnsi="Calibri" w:cs="Calibri"/>
                <w:color w:val="000000"/>
              </w:rPr>
              <w:t>wania</w:t>
            </w:r>
            <w:r w:rsidR="00994055">
              <w:rPr>
                <w:rFonts w:ascii="Calibri" w:hAnsi="Calibri" w:cs="Calibri"/>
                <w:color w:val="000000"/>
              </w:rPr>
              <w:t xml:space="preserve"> seria wiadomości dedykowanych do zamieszczenia w portalach społecznościowych, przygotowano skróconą broszurę informacyjną o projekcie, a także </w:t>
            </w:r>
            <w:r w:rsidR="004063B6">
              <w:rPr>
                <w:rFonts w:ascii="Calibri" w:hAnsi="Calibri" w:cs="Calibri"/>
                <w:color w:val="000000"/>
              </w:rPr>
              <w:t>udostępniono stronę www, na której można znaleźć bardziej szczegółowe informacje o projekcie. Ponadto odnotować można nie mniej niż 5 wystąpień publicznych i artykułów w prasie, w których przedstawiciele GUM informują o projekcie e-CzasPL.</w:t>
            </w:r>
          </w:p>
          <w:p w14:paraId="312F2BE3" w14:textId="10D26B99" w:rsidR="006B1DE6"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2. </w:t>
            </w:r>
            <w:r w:rsidR="006B1DE6">
              <w:rPr>
                <w:rFonts w:ascii="Calibri" w:hAnsi="Calibri" w:cs="Calibri"/>
                <w:color w:val="000000"/>
              </w:rPr>
              <w:t xml:space="preserve">Efektem podjętych działań jest brak informacji odnośnie zwiększającego się problemu związanego z </w:t>
            </w:r>
            <w:r w:rsidR="006B1DE6" w:rsidRPr="006B1DE6">
              <w:rPr>
                <w:rFonts w:ascii="Calibri" w:hAnsi="Calibri" w:cs="Calibri"/>
                <w:color w:val="000000"/>
              </w:rPr>
              <w:t>brak</w:t>
            </w:r>
            <w:r w:rsidR="006B1DE6">
              <w:rPr>
                <w:rFonts w:ascii="Calibri" w:hAnsi="Calibri" w:cs="Calibri"/>
                <w:color w:val="000000"/>
              </w:rPr>
              <w:t>iem</w:t>
            </w:r>
            <w:r w:rsidR="006B1DE6" w:rsidRPr="006B1DE6">
              <w:rPr>
                <w:rFonts w:ascii="Calibri" w:hAnsi="Calibri" w:cs="Calibri"/>
                <w:color w:val="000000"/>
              </w:rPr>
              <w:t xml:space="preserve"> świadomości potrzeb korzystania</w:t>
            </w:r>
            <w:r w:rsidR="006B1DE6">
              <w:rPr>
                <w:rFonts w:ascii="Calibri" w:hAnsi="Calibri" w:cs="Calibri"/>
                <w:color w:val="000000"/>
              </w:rPr>
              <w:t xml:space="preserve"> z usług projektu, natomiast oczekujemy iż podejmowane działania w przyszłości przełożą się na osiągnięcie </w:t>
            </w:r>
            <w:r w:rsidR="00193983">
              <w:rPr>
                <w:rFonts w:ascii="Calibri" w:hAnsi="Calibri" w:cs="Calibri"/>
                <w:color w:val="000000"/>
              </w:rPr>
              <w:t>opisanych w Studium Wykonalności projektu założeń dot. liczby użytkowników.</w:t>
            </w:r>
          </w:p>
          <w:p w14:paraId="456F9A07" w14:textId="0BF90EAD" w:rsidR="006E0E46" w:rsidRPr="00DA534C"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DA534C" w:rsidRPr="002B50C0" w14:paraId="20ECF99A" w14:textId="77777777" w:rsidTr="009F5EE5">
        <w:tc>
          <w:tcPr>
            <w:tcW w:w="2977" w:type="dxa"/>
            <w:vAlign w:val="center"/>
          </w:tcPr>
          <w:p w14:paraId="163C3456" w14:textId="4495BBD1" w:rsidR="00DA534C"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Ryzyko utrudnionej dostępności na rynku specjalistycznego sprzętu koniecznego do przeprowadzenia projektu.</w:t>
            </w:r>
          </w:p>
        </w:tc>
        <w:tc>
          <w:tcPr>
            <w:tcW w:w="1418" w:type="dxa"/>
            <w:vAlign w:val="center"/>
          </w:tcPr>
          <w:p w14:paraId="1EB083B6" w14:textId="223F0E49" w:rsidR="00DA534C" w:rsidRPr="00E85207" w:rsidRDefault="00DA534C" w:rsidP="00DA534C">
            <w:pPr>
              <w:autoSpaceDE w:val="0"/>
              <w:autoSpaceDN w:val="0"/>
              <w:adjustRightInd w:val="0"/>
              <w:jc w:val="center"/>
            </w:pPr>
            <w:r w:rsidRPr="00467A44">
              <w:t>Średnia</w:t>
            </w:r>
          </w:p>
        </w:tc>
        <w:tc>
          <w:tcPr>
            <w:tcW w:w="1275" w:type="dxa"/>
            <w:vAlign w:val="center"/>
          </w:tcPr>
          <w:p w14:paraId="74B9A6FE" w14:textId="6813C77B" w:rsidR="00DA534C" w:rsidRPr="00E85207" w:rsidRDefault="00DA534C" w:rsidP="00DA534C">
            <w:pPr>
              <w:autoSpaceDE w:val="0"/>
              <w:autoSpaceDN w:val="0"/>
              <w:adjustRightInd w:val="0"/>
              <w:jc w:val="center"/>
            </w:pPr>
            <w:r w:rsidRPr="00467A44">
              <w:t>Średnia</w:t>
            </w:r>
          </w:p>
        </w:tc>
        <w:tc>
          <w:tcPr>
            <w:tcW w:w="3828" w:type="dxa"/>
          </w:tcPr>
          <w:p w14:paraId="4515238F" w14:textId="6B419EB8" w:rsidR="00DA534C" w:rsidRPr="00DA534C" w:rsidRDefault="00001329"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W celu minimalizacji ryzyka beneficjent prowadzi rozpoznanie rynku (producentów wysokospecjalistycznego sprzętu), oraz zaplanował przygotowywanie specyfikacji technicznych już w pierwszym etapie projektu, tak aby ewentualne opóźnienia nie wpłynęły na możliwość realizacji.</w:t>
            </w:r>
            <w:r>
              <w:rPr>
                <w:rFonts w:ascii="Calibri" w:hAnsi="Calibri" w:cs="Calibri"/>
                <w:color w:val="000000"/>
              </w:rPr>
              <w:t xml:space="preserve"> </w:t>
            </w:r>
            <w:r w:rsidR="00DA534C" w:rsidRPr="00DA534C">
              <w:rPr>
                <w:rFonts w:ascii="Calibri" w:hAnsi="Calibri" w:cs="Calibri"/>
                <w:color w:val="000000"/>
              </w:rPr>
              <w:t>Ponadto w skład personelu projektu niezbędnego do realizacji zadań merytorycznych wchodzą osoby z wieloletnim stażem w przedmiotowym obszarze tematycznym, przez co możliwa będzie bieżąca aktualizacja i analiza dostępnych na rynku rozwiązań technicznych i technologicznych, które pozwolą na zakup sprzętu i zamówienie usług spełniających wymagania założone we wniosku projektowym.</w:t>
            </w:r>
          </w:p>
          <w:p w14:paraId="3AA66F49" w14:textId="23B66D67" w:rsid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Proponowana reakcja: monitorowanie procesu zamówień publicznych, działania zapobiegawcze i korygujące.</w:t>
            </w:r>
          </w:p>
          <w:p w14:paraId="2D5D3386" w14:textId="084A0303" w:rsidR="004063B6" w:rsidRDefault="00193983" w:rsidP="00DA534C">
            <w:pPr>
              <w:autoSpaceDE w:val="0"/>
              <w:autoSpaceDN w:val="0"/>
              <w:adjustRightInd w:val="0"/>
              <w:rPr>
                <w:rFonts w:ascii="Calibri" w:hAnsi="Calibri" w:cs="Calibri"/>
                <w:color w:val="000000"/>
              </w:rPr>
            </w:pPr>
            <w:r>
              <w:rPr>
                <w:rFonts w:ascii="Calibri" w:hAnsi="Calibri" w:cs="Calibri"/>
                <w:color w:val="000000"/>
              </w:rPr>
              <w:t>Aktualnie podjęto działania zarządcze w postaci</w:t>
            </w:r>
            <w:r w:rsidR="004063B6">
              <w:rPr>
                <w:rFonts w:ascii="Calibri" w:hAnsi="Calibri" w:cs="Calibri"/>
                <w:color w:val="000000"/>
              </w:rPr>
              <w:t xml:space="preserve"> bezpośredni</w:t>
            </w:r>
            <w:r>
              <w:rPr>
                <w:rFonts w:ascii="Calibri" w:hAnsi="Calibri" w:cs="Calibri"/>
                <w:color w:val="000000"/>
              </w:rPr>
              <w:t>ego</w:t>
            </w:r>
            <w:r w:rsidR="004063B6">
              <w:rPr>
                <w:rFonts w:ascii="Calibri" w:hAnsi="Calibri" w:cs="Calibri"/>
                <w:color w:val="000000"/>
              </w:rPr>
              <w:t xml:space="preserve"> zaangażowana </w:t>
            </w:r>
            <w:r>
              <w:rPr>
                <w:rFonts w:ascii="Calibri" w:hAnsi="Calibri" w:cs="Calibri"/>
                <w:color w:val="000000"/>
              </w:rPr>
              <w:t xml:space="preserve">kadry projektu w </w:t>
            </w:r>
            <w:r w:rsidR="004063B6">
              <w:rPr>
                <w:rFonts w:ascii="Calibri" w:hAnsi="Calibri" w:cs="Calibri"/>
                <w:color w:val="000000"/>
              </w:rPr>
              <w:t>stały kontak</w:t>
            </w:r>
            <w:r>
              <w:rPr>
                <w:rFonts w:ascii="Calibri" w:hAnsi="Calibri" w:cs="Calibri"/>
                <w:color w:val="000000"/>
              </w:rPr>
              <w:t>t</w:t>
            </w:r>
            <w:r w:rsidR="004063B6">
              <w:rPr>
                <w:rFonts w:ascii="Calibri" w:hAnsi="Calibri" w:cs="Calibri"/>
                <w:color w:val="000000"/>
              </w:rPr>
              <w:t xml:space="preserve"> z producentami i dystrybutorami specjalistycznego sprzętu, a także </w:t>
            </w:r>
            <w:r>
              <w:rPr>
                <w:rFonts w:ascii="Calibri" w:hAnsi="Calibri" w:cs="Calibri"/>
                <w:color w:val="000000"/>
              </w:rPr>
              <w:t xml:space="preserve">zgodnie z harmonogramem </w:t>
            </w:r>
            <w:r w:rsidR="004063B6">
              <w:rPr>
                <w:rFonts w:ascii="Calibri" w:hAnsi="Calibri" w:cs="Calibri"/>
                <w:color w:val="000000"/>
              </w:rPr>
              <w:t>uruchomiono 2 Dialogi Techniczne w ramach których również rozpoznawane są wszystkie utrudnienia związane z ewentualnym dostępem do technologii koniecznych do wdrożenia w ramach projektu e-CzasPL.</w:t>
            </w:r>
          </w:p>
          <w:p w14:paraId="389DEEA7" w14:textId="1D3145F0" w:rsidR="00193983" w:rsidRDefault="00001329" w:rsidP="00DA534C">
            <w:pPr>
              <w:autoSpaceDE w:val="0"/>
              <w:autoSpaceDN w:val="0"/>
              <w:adjustRightInd w:val="0"/>
              <w:rPr>
                <w:rFonts w:ascii="Calibri" w:hAnsi="Calibri" w:cs="Calibri"/>
                <w:color w:val="000000"/>
              </w:rPr>
            </w:pPr>
            <w:r>
              <w:rPr>
                <w:rFonts w:ascii="Calibri" w:hAnsi="Calibri" w:cs="Calibri"/>
                <w:color w:val="000000"/>
              </w:rPr>
              <w:t xml:space="preserve">2. </w:t>
            </w:r>
            <w:r w:rsidR="00193983">
              <w:rPr>
                <w:rFonts w:ascii="Calibri" w:hAnsi="Calibri" w:cs="Calibri"/>
                <w:color w:val="000000"/>
              </w:rPr>
              <w:t xml:space="preserve">Efektem podjętych działań jest wykonanie wielokryterialnych analiz sprzętu związanego z generowaniem skali czasu (atomowych wzorców częstotliwości), których wynik pozwolił na podjęcie najbardziej optymalnej dla osiągnięcia celów projektu decyzji odnośnie definicji szczegółowej nabywanego sprzętu. Spodziewany efekt działań ma prowadzić do możliwości uruchomienia usług spełniających wszystkie wymagania określone w Studium </w:t>
            </w:r>
            <w:proofErr w:type="spellStart"/>
            <w:r w:rsidR="00193983">
              <w:rPr>
                <w:rFonts w:ascii="Calibri" w:hAnsi="Calibri" w:cs="Calibri"/>
                <w:color w:val="000000"/>
              </w:rPr>
              <w:t>Wykonalnosci</w:t>
            </w:r>
            <w:proofErr w:type="spellEnd"/>
            <w:r w:rsidR="00193983">
              <w:rPr>
                <w:rFonts w:ascii="Calibri" w:hAnsi="Calibri" w:cs="Calibri"/>
                <w:color w:val="000000"/>
              </w:rPr>
              <w:t>.</w:t>
            </w:r>
          </w:p>
          <w:p w14:paraId="1148623A" w14:textId="544AAF81" w:rsidR="006E0E46" w:rsidRPr="00DA534C" w:rsidRDefault="00001329"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bl>
    <w:p w14:paraId="602B0C9F" w14:textId="77777777" w:rsidR="00141A92" w:rsidRDefault="00141A92" w:rsidP="00141A92">
      <w:pPr>
        <w:spacing w:before="240" w:after="120"/>
        <w:rPr>
          <w:rFonts w:ascii="Arial" w:hAnsi="Arial" w:cs="Arial"/>
          <w:b/>
          <w:sz w:val="20"/>
          <w:szCs w:val="20"/>
        </w:rPr>
      </w:pPr>
    </w:p>
    <w:p w14:paraId="1C55ADD7" w14:textId="77777777" w:rsidR="00193983" w:rsidRDefault="00193983">
      <w:pPr>
        <w:rPr>
          <w:rFonts w:ascii="Arial" w:hAnsi="Arial" w:cs="Arial"/>
          <w:b/>
          <w:sz w:val="20"/>
          <w:szCs w:val="20"/>
        </w:rPr>
      </w:pPr>
      <w:r>
        <w:rPr>
          <w:rFonts w:ascii="Arial" w:hAnsi="Arial" w:cs="Arial"/>
          <w:b/>
          <w:sz w:val="20"/>
          <w:szCs w:val="20"/>
        </w:rPr>
        <w:br w:type="page"/>
      </w:r>
    </w:p>
    <w:p w14:paraId="7BB64F32" w14:textId="4ABBA92B"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1134"/>
        <w:gridCol w:w="1275"/>
        <w:gridCol w:w="4677"/>
      </w:tblGrid>
      <w:tr w:rsidR="0091332C" w:rsidRPr="006334BF" w14:paraId="061EEDF1" w14:textId="77777777" w:rsidTr="006E0E46">
        <w:trPr>
          <w:trHeight w:val="724"/>
        </w:trPr>
        <w:tc>
          <w:tcPr>
            <w:tcW w:w="2694" w:type="dxa"/>
            <w:shd w:val="clear" w:color="auto" w:fill="D9D9D9" w:themeFill="background1" w:themeFillShade="D9"/>
            <w:vAlign w:val="center"/>
          </w:tcPr>
          <w:p w14:paraId="3900C282" w14:textId="77777777" w:rsidR="0091332C" w:rsidRPr="0091332C" w:rsidRDefault="0091332C" w:rsidP="006E3B36">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134" w:type="dxa"/>
            <w:shd w:val="clear" w:color="auto" w:fill="D9D9D9" w:themeFill="background1" w:themeFillShade="D9"/>
            <w:vAlign w:val="center"/>
          </w:tcPr>
          <w:p w14:paraId="6D32BD01" w14:textId="77777777" w:rsidR="0091332C" w:rsidRPr="0091332C" w:rsidRDefault="0091332C" w:rsidP="006E3B36">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1275" w:type="dxa"/>
            <w:shd w:val="clear" w:color="auto" w:fill="D9D9D9" w:themeFill="background1" w:themeFillShade="D9"/>
          </w:tcPr>
          <w:p w14:paraId="4E89D004" w14:textId="77777777" w:rsidR="0091332C" w:rsidRPr="0091332C" w:rsidRDefault="0091332C" w:rsidP="006E3B36">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4677" w:type="dxa"/>
            <w:shd w:val="clear" w:color="auto" w:fill="D9D9D9" w:themeFill="background1" w:themeFillShade="D9"/>
            <w:vAlign w:val="center"/>
          </w:tcPr>
          <w:p w14:paraId="17FDFEA6" w14:textId="77777777" w:rsidR="0091332C" w:rsidRPr="006334BF" w:rsidRDefault="0091332C" w:rsidP="006E3B36">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6DCB94C6" w14:textId="77777777" w:rsidTr="00001329">
        <w:trPr>
          <w:trHeight w:val="724"/>
        </w:trPr>
        <w:tc>
          <w:tcPr>
            <w:tcW w:w="2694" w:type="dxa"/>
            <w:shd w:val="clear" w:color="auto" w:fill="auto"/>
            <w:vAlign w:val="center"/>
          </w:tcPr>
          <w:p w14:paraId="43C8DA78" w14:textId="503BCE4A" w:rsidR="00E36D70" w:rsidRDefault="00E36D70" w:rsidP="00001329">
            <w:pPr>
              <w:pStyle w:val="Default"/>
              <w:jc w:val="center"/>
            </w:pPr>
            <w:r>
              <w:rPr>
                <w:sz w:val="22"/>
                <w:szCs w:val="22"/>
              </w:rPr>
              <w:t>Ryzyko niskiego poziomu korzystania z uruchomionych usług elektronicznych (usług czasu) przez grupy docelowe.</w:t>
            </w:r>
          </w:p>
          <w:p w14:paraId="6B9ADC89" w14:textId="2BF1A1C0" w:rsidR="0091332C" w:rsidRPr="0091332C" w:rsidRDefault="0091332C" w:rsidP="00001329">
            <w:pPr>
              <w:jc w:val="center"/>
              <w:rPr>
                <w:rFonts w:ascii="Arial" w:hAnsi="Arial" w:cs="Arial"/>
                <w:color w:val="0070C0"/>
                <w:sz w:val="18"/>
                <w:szCs w:val="18"/>
                <w:lang w:eastAsia="pl-PL"/>
              </w:rPr>
            </w:pPr>
          </w:p>
        </w:tc>
        <w:tc>
          <w:tcPr>
            <w:tcW w:w="1134" w:type="dxa"/>
            <w:shd w:val="clear" w:color="auto" w:fill="FFFFFF"/>
            <w:vAlign w:val="center"/>
          </w:tcPr>
          <w:p w14:paraId="2F0B777F" w14:textId="1A3D8872" w:rsidR="0091332C" w:rsidRPr="001E23A3" w:rsidRDefault="00E36D70" w:rsidP="00001329">
            <w:pPr>
              <w:pStyle w:val="Default"/>
              <w:jc w:val="center"/>
              <w:rPr>
                <w:sz w:val="22"/>
                <w:szCs w:val="22"/>
              </w:rPr>
            </w:pPr>
            <w:r w:rsidRPr="001E23A3">
              <w:rPr>
                <w:sz w:val="22"/>
                <w:szCs w:val="22"/>
              </w:rPr>
              <w:t>Duża</w:t>
            </w:r>
          </w:p>
        </w:tc>
        <w:tc>
          <w:tcPr>
            <w:tcW w:w="1275" w:type="dxa"/>
            <w:shd w:val="clear" w:color="auto" w:fill="FFFFFF"/>
            <w:vAlign w:val="center"/>
          </w:tcPr>
          <w:p w14:paraId="65F40333" w14:textId="0C6F7385" w:rsidR="0091332C" w:rsidRPr="001E23A3" w:rsidRDefault="00E36D70" w:rsidP="00001329">
            <w:pPr>
              <w:pStyle w:val="Default"/>
              <w:jc w:val="center"/>
              <w:rPr>
                <w:sz w:val="22"/>
                <w:szCs w:val="22"/>
              </w:rPr>
            </w:pPr>
            <w:r w:rsidRPr="001E23A3">
              <w:rPr>
                <w:sz w:val="22"/>
                <w:szCs w:val="22"/>
              </w:rPr>
              <w:t>Niskie</w:t>
            </w:r>
          </w:p>
        </w:tc>
        <w:tc>
          <w:tcPr>
            <w:tcW w:w="4677" w:type="dxa"/>
            <w:shd w:val="clear" w:color="auto" w:fill="FFFFFF"/>
          </w:tcPr>
          <w:p w14:paraId="29B5530B" w14:textId="77777777" w:rsidR="00E0110F" w:rsidRDefault="000C55C1" w:rsidP="00E0110F">
            <w:pPr>
              <w:pStyle w:val="Default"/>
              <w:rPr>
                <w:sz w:val="22"/>
                <w:szCs w:val="22"/>
              </w:rPr>
            </w:pPr>
            <w:r>
              <w:rPr>
                <w:sz w:val="22"/>
                <w:szCs w:val="22"/>
              </w:rPr>
              <w:t xml:space="preserve">1. </w:t>
            </w:r>
            <w:r w:rsidR="00E36D70" w:rsidRPr="001E23A3">
              <w:rPr>
                <w:sz w:val="22"/>
                <w:szCs w:val="22"/>
              </w:rPr>
              <w:t>Utworzenie usług elektronicznych wynika z wymogów prawa oraz istniejącej potrzeby grup będących Klientami administracji miar, dlatego beneficjent nie spodziewa się materializacji ryzyka. W celu minimalizacji ryzyka działania informacyjnopromocyjne w szczególności ukierunkowane będą na potencjalnych Klientów: firmy energetyczne, telekomunikacyjne, banki i instytucje finansowe.</w:t>
            </w:r>
            <w:r>
              <w:rPr>
                <w:sz w:val="22"/>
                <w:szCs w:val="22"/>
              </w:rPr>
              <w:t xml:space="preserve"> </w:t>
            </w:r>
            <w:r w:rsidR="00E36D70" w:rsidRPr="001E23A3">
              <w:rPr>
                <w:sz w:val="22"/>
                <w:szCs w:val="22"/>
              </w:rPr>
              <w:t>Proponowana reakcja: Działania zapobiegawcze i korygujące.</w:t>
            </w:r>
            <w:r>
              <w:rPr>
                <w:sz w:val="22"/>
                <w:szCs w:val="22"/>
              </w:rPr>
              <w:t xml:space="preserve"> </w:t>
            </w:r>
            <w:r w:rsidR="00AB6AAA">
              <w:rPr>
                <w:sz w:val="22"/>
                <w:szCs w:val="22"/>
              </w:rPr>
              <w:t>Do dnia dzisiejszego podjęto działania promocyjne z wykorzystaniem własnych nakładów i możliwości, jak np. promowanie i informowanie o projekcie podczas wystąpień publicznych</w:t>
            </w:r>
            <w:r w:rsidR="00685F75">
              <w:rPr>
                <w:sz w:val="22"/>
                <w:szCs w:val="22"/>
              </w:rPr>
              <w:t>, informowanie o projekcie na stronie internetowej Beneficjenta, przygotowanie ulotek informujących o projekcie. Ponadto przygotowywany jest plan promocji i następne działania promocyjne, których realizacja będzie zlecona profesjonalnemu podmiotowi.</w:t>
            </w:r>
          </w:p>
          <w:p w14:paraId="012E77DB" w14:textId="1350451D" w:rsidR="00E0110F" w:rsidRDefault="00E0110F" w:rsidP="00E0110F">
            <w:pPr>
              <w:pStyle w:val="Default"/>
              <w:rPr>
                <w:sz w:val="22"/>
                <w:szCs w:val="22"/>
              </w:rPr>
            </w:pPr>
            <w:r>
              <w:rPr>
                <w:sz w:val="22"/>
                <w:szCs w:val="22"/>
              </w:rPr>
              <w:t xml:space="preserve">2. Faktycznym efektem działań </w:t>
            </w:r>
            <w:r w:rsidR="00685F75">
              <w:rPr>
                <w:sz w:val="22"/>
                <w:szCs w:val="22"/>
              </w:rPr>
              <w:t xml:space="preserve"> </w:t>
            </w:r>
            <w:r>
              <w:rPr>
                <w:sz w:val="22"/>
                <w:szCs w:val="22"/>
              </w:rPr>
              <w:t xml:space="preserve">jest uruchomienie współpracy ze </w:t>
            </w:r>
            <w:r w:rsidR="00685F75">
              <w:rPr>
                <w:sz w:val="22"/>
                <w:szCs w:val="22"/>
              </w:rPr>
              <w:t>specjalist</w:t>
            </w:r>
            <w:r>
              <w:rPr>
                <w:sz w:val="22"/>
                <w:szCs w:val="22"/>
              </w:rPr>
              <w:t>ą</w:t>
            </w:r>
            <w:r w:rsidR="00685F75">
              <w:rPr>
                <w:sz w:val="22"/>
                <w:szCs w:val="22"/>
              </w:rPr>
              <w:t xml:space="preserve"> ds. User Experience, który będzie nawiązywał i utrzymywał kontakt z potencjalnymi użytkownikami oraz badał ich preferencje</w:t>
            </w:r>
            <w:r>
              <w:rPr>
                <w:sz w:val="22"/>
                <w:szCs w:val="22"/>
              </w:rPr>
              <w:t xml:space="preserve"> oraz uruchomiono działania własne w zakresie promocji i procedowany jest pierwszy przetarg na usługi w tym zakresie.</w:t>
            </w:r>
          </w:p>
          <w:p w14:paraId="5D2BA0FB" w14:textId="5F92B0B9" w:rsidR="006E0E46" w:rsidRPr="001E23A3" w:rsidRDefault="00E0110F" w:rsidP="00E0110F">
            <w:pPr>
              <w:pStyle w:val="Default"/>
              <w:rPr>
                <w:sz w:val="22"/>
                <w:szCs w:val="22"/>
              </w:rPr>
            </w:pPr>
            <w:r>
              <w:rPr>
                <w:sz w:val="22"/>
                <w:szCs w:val="22"/>
              </w:rPr>
              <w:t xml:space="preserve">3. </w:t>
            </w:r>
            <w:r w:rsidR="006E0E46" w:rsidRPr="006E0E46">
              <w:rPr>
                <w:sz w:val="22"/>
                <w:szCs w:val="22"/>
              </w:rPr>
              <w:t>W stosunku do poprzedniego okresu sprawozdawczego nie nastąpiła zmiana w zakresie danego ryzyka.</w:t>
            </w:r>
          </w:p>
        </w:tc>
      </w:tr>
      <w:tr w:rsidR="00477868" w:rsidRPr="001B6667" w14:paraId="03E416CB" w14:textId="77777777" w:rsidTr="00E0110F">
        <w:trPr>
          <w:trHeight w:val="724"/>
        </w:trPr>
        <w:tc>
          <w:tcPr>
            <w:tcW w:w="2694" w:type="dxa"/>
            <w:shd w:val="clear" w:color="auto" w:fill="auto"/>
            <w:vAlign w:val="center"/>
          </w:tcPr>
          <w:p w14:paraId="323BE984" w14:textId="0EA40D8E" w:rsidR="001E23A3" w:rsidRDefault="001E23A3" w:rsidP="00E0110F">
            <w:pPr>
              <w:pStyle w:val="Default"/>
              <w:jc w:val="center"/>
            </w:pPr>
            <w:r>
              <w:rPr>
                <w:sz w:val="22"/>
                <w:szCs w:val="22"/>
              </w:rPr>
              <w:t xml:space="preserve">Ryzyko spotkania się z niechęcią pracowników beneficjenta i jednostek powiązanych w stosunku do </w:t>
            </w:r>
            <w:r w:rsidRPr="001E23A3">
              <w:rPr>
                <w:sz w:val="22"/>
                <w:szCs w:val="22"/>
              </w:rPr>
              <w:t>korzystania i obsługi usług elektronicznych.</w:t>
            </w:r>
          </w:p>
          <w:p w14:paraId="234FED26" w14:textId="77777777" w:rsidR="00477868" w:rsidRDefault="00477868" w:rsidP="00E0110F">
            <w:pPr>
              <w:pStyle w:val="Default"/>
              <w:jc w:val="center"/>
              <w:rPr>
                <w:sz w:val="22"/>
                <w:szCs w:val="22"/>
              </w:rPr>
            </w:pPr>
          </w:p>
        </w:tc>
        <w:tc>
          <w:tcPr>
            <w:tcW w:w="1134" w:type="dxa"/>
            <w:shd w:val="clear" w:color="auto" w:fill="FFFFFF"/>
            <w:vAlign w:val="center"/>
          </w:tcPr>
          <w:p w14:paraId="4C499343" w14:textId="38927750" w:rsidR="00477868" w:rsidRPr="001E23A3" w:rsidRDefault="001E23A3" w:rsidP="00E0110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Średnia</w:t>
            </w:r>
          </w:p>
        </w:tc>
        <w:tc>
          <w:tcPr>
            <w:tcW w:w="1275" w:type="dxa"/>
            <w:shd w:val="clear" w:color="auto" w:fill="FFFFFF"/>
            <w:vAlign w:val="center"/>
          </w:tcPr>
          <w:p w14:paraId="3DA34C01" w14:textId="2E8C19F4" w:rsidR="00477868" w:rsidRPr="001E23A3" w:rsidRDefault="001E23A3" w:rsidP="00E0110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Niskie</w:t>
            </w:r>
          </w:p>
        </w:tc>
        <w:tc>
          <w:tcPr>
            <w:tcW w:w="4677" w:type="dxa"/>
            <w:shd w:val="clear" w:color="auto" w:fill="FFFFFF"/>
          </w:tcPr>
          <w:p w14:paraId="49506496" w14:textId="7D65789A" w:rsidR="001E23A3" w:rsidRPr="001E23A3" w:rsidRDefault="00E0110F" w:rsidP="001E23A3">
            <w:pPr>
              <w:pStyle w:val="Default"/>
              <w:rPr>
                <w:sz w:val="22"/>
                <w:szCs w:val="22"/>
              </w:rPr>
            </w:pPr>
            <w:r>
              <w:rPr>
                <w:sz w:val="22"/>
                <w:szCs w:val="22"/>
              </w:rPr>
              <w:t xml:space="preserve">1. </w:t>
            </w:r>
            <w:r w:rsidR="001E23A3">
              <w:rPr>
                <w:sz w:val="22"/>
                <w:szCs w:val="22"/>
              </w:rPr>
              <w:t xml:space="preserve">W celu minimalizacji ryzyka beneficjent planuje przeprowadzić szkolenia dla osób, które będą pracować w systemie. Szkolenia będą obejmować </w:t>
            </w:r>
            <w:r w:rsidR="001E23A3" w:rsidRPr="001E23A3">
              <w:rPr>
                <w:sz w:val="22"/>
                <w:szCs w:val="22"/>
              </w:rPr>
              <w:t>zarówno kwestie techniczne związane z obsługa sprzętu, jak i merytoryczne.</w:t>
            </w:r>
          </w:p>
          <w:p w14:paraId="3BDBE95C" w14:textId="590F6D24" w:rsidR="00685F75" w:rsidRDefault="001E23A3" w:rsidP="001E23A3">
            <w:pPr>
              <w:pStyle w:val="Default"/>
              <w:rPr>
                <w:sz w:val="22"/>
                <w:szCs w:val="22"/>
              </w:rPr>
            </w:pPr>
            <w:r w:rsidRPr="001E23A3">
              <w:rPr>
                <w:sz w:val="22"/>
                <w:szCs w:val="22"/>
              </w:rPr>
              <w:t>Proponowana reakcja: działania zapobiegawcze i korygujące.</w:t>
            </w:r>
            <w:r w:rsidR="00E0110F">
              <w:rPr>
                <w:sz w:val="22"/>
                <w:szCs w:val="22"/>
              </w:rPr>
              <w:t xml:space="preserve"> </w:t>
            </w:r>
            <w:r w:rsidR="00685F75">
              <w:rPr>
                <w:sz w:val="22"/>
                <w:szCs w:val="22"/>
              </w:rPr>
              <w:t>Aktualne działania zarządcze polegają na zaangażowaniu pracowników Beneficjenta w proces definiowania założeń co do nowopowstającego systemu tak, aby każdy zainteresowany był zaangażowany na odpowiednim poziomie, co przełoży się na możliwość stworzenia narzędzia dopasowanego do potrzeb pracowników Beneficjenta.</w:t>
            </w:r>
          </w:p>
          <w:p w14:paraId="3FDAD25F" w14:textId="1BA99D47" w:rsidR="00E0110F" w:rsidRDefault="00E0110F" w:rsidP="001E23A3">
            <w:pPr>
              <w:pStyle w:val="Default"/>
              <w:rPr>
                <w:sz w:val="22"/>
                <w:szCs w:val="22"/>
              </w:rPr>
            </w:pPr>
            <w:r>
              <w:rPr>
                <w:sz w:val="22"/>
                <w:szCs w:val="22"/>
              </w:rPr>
              <w:t>2. Spodziewanym efektem działań</w:t>
            </w:r>
            <w:r w:rsidR="001507DA">
              <w:rPr>
                <w:sz w:val="22"/>
                <w:szCs w:val="22"/>
              </w:rPr>
              <w:t xml:space="preserve"> jest dostarczenie produktu, który w znaczącym stopniu spełni oczekiwania pracowników beneficjenta.</w:t>
            </w:r>
          </w:p>
          <w:p w14:paraId="3CA793F6" w14:textId="4E09625D" w:rsidR="00477868" w:rsidRPr="00E36D70" w:rsidRDefault="00E0110F" w:rsidP="00E0110F">
            <w:pPr>
              <w:pStyle w:val="Default"/>
              <w:rPr>
                <w:rFonts w:ascii="Arial" w:eastAsia="Times New Roman" w:hAnsi="Arial" w:cs="Arial"/>
                <w:b/>
                <w:bCs/>
                <w:color w:val="0070C0"/>
                <w:sz w:val="18"/>
                <w:szCs w:val="18"/>
                <w:lang w:eastAsia="pl-PL"/>
              </w:rPr>
            </w:pPr>
            <w:r>
              <w:rPr>
                <w:sz w:val="22"/>
                <w:szCs w:val="22"/>
              </w:rPr>
              <w:t xml:space="preserve">3. </w:t>
            </w:r>
            <w:r w:rsidR="006E0E46" w:rsidRPr="006E0E46">
              <w:rPr>
                <w:sz w:val="22"/>
                <w:szCs w:val="22"/>
              </w:rPr>
              <w:t>W stosunku do poprzedniego okresu sprawozdawczego nie nastąpiła zmiana w zakresie danego ryzyka.</w:t>
            </w:r>
          </w:p>
        </w:tc>
      </w:tr>
      <w:tr w:rsidR="00477868" w:rsidRPr="001B6667" w14:paraId="46044D45" w14:textId="77777777" w:rsidTr="001527BF">
        <w:trPr>
          <w:trHeight w:val="724"/>
        </w:trPr>
        <w:tc>
          <w:tcPr>
            <w:tcW w:w="2694" w:type="dxa"/>
            <w:shd w:val="clear" w:color="auto" w:fill="auto"/>
            <w:vAlign w:val="center"/>
          </w:tcPr>
          <w:p w14:paraId="2988123B" w14:textId="479C9BF1" w:rsidR="001E23A3" w:rsidRDefault="001E23A3" w:rsidP="001527BF">
            <w:pPr>
              <w:pStyle w:val="Default"/>
              <w:jc w:val="center"/>
            </w:pPr>
            <w:r>
              <w:rPr>
                <w:sz w:val="22"/>
                <w:szCs w:val="22"/>
              </w:rPr>
              <w:t>Ryzyko braku dostępu Laboratorium do sieci szkieletowej i niemożność świadczenia usług z użyciem Internetu/ dedykowanych łączy światłowodowych.</w:t>
            </w:r>
          </w:p>
          <w:p w14:paraId="7B34F855" w14:textId="77777777" w:rsidR="00477868" w:rsidRDefault="00477868" w:rsidP="001527BF">
            <w:pPr>
              <w:pStyle w:val="Default"/>
              <w:jc w:val="center"/>
              <w:rPr>
                <w:sz w:val="22"/>
                <w:szCs w:val="22"/>
              </w:rPr>
            </w:pPr>
          </w:p>
        </w:tc>
        <w:tc>
          <w:tcPr>
            <w:tcW w:w="1134" w:type="dxa"/>
            <w:shd w:val="clear" w:color="auto" w:fill="FFFFFF"/>
            <w:vAlign w:val="center"/>
          </w:tcPr>
          <w:p w14:paraId="3A27BC21" w14:textId="789A2276"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Średnia</w:t>
            </w:r>
          </w:p>
        </w:tc>
        <w:tc>
          <w:tcPr>
            <w:tcW w:w="1275" w:type="dxa"/>
            <w:shd w:val="clear" w:color="auto" w:fill="FFFFFF"/>
            <w:vAlign w:val="center"/>
          </w:tcPr>
          <w:p w14:paraId="21692385" w14:textId="18170B10"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Niskie</w:t>
            </w:r>
          </w:p>
        </w:tc>
        <w:tc>
          <w:tcPr>
            <w:tcW w:w="4677" w:type="dxa"/>
            <w:shd w:val="clear" w:color="auto" w:fill="FFFFFF"/>
          </w:tcPr>
          <w:p w14:paraId="38C5C310" w14:textId="28997D1F" w:rsidR="00477868" w:rsidRDefault="001036A9" w:rsidP="001E23A3">
            <w:pPr>
              <w:pStyle w:val="Legenda"/>
              <w:rPr>
                <w:rFonts w:ascii="Calibri" w:eastAsiaTheme="minorHAnsi" w:hAnsi="Calibri" w:cs="Calibri"/>
                <w:b w:val="0"/>
                <w:bCs w:val="0"/>
                <w:color w:val="000000"/>
                <w:kern w:val="0"/>
                <w:sz w:val="22"/>
                <w:szCs w:val="22"/>
              </w:rPr>
            </w:pPr>
            <w:r>
              <w:rPr>
                <w:rFonts w:ascii="Calibri" w:eastAsiaTheme="minorHAnsi" w:hAnsi="Calibri" w:cs="Calibri"/>
                <w:b w:val="0"/>
                <w:bCs w:val="0"/>
                <w:color w:val="000000"/>
                <w:kern w:val="0"/>
                <w:sz w:val="22"/>
                <w:szCs w:val="22"/>
              </w:rPr>
              <w:t xml:space="preserve">1. </w:t>
            </w:r>
            <w:r w:rsidR="001E23A3" w:rsidRPr="001E23A3">
              <w:rPr>
                <w:rFonts w:ascii="Calibri" w:eastAsiaTheme="minorHAnsi" w:hAnsi="Calibri" w:cs="Calibri"/>
                <w:b w:val="0"/>
                <w:bCs w:val="0"/>
                <w:color w:val="000000"/>
                <w:kern w:val="0"/>
                <w:sz w:val="22"/>
                <w:szCs w:val="22"/>
              </w:rPr>
              <w:t>W celu minimalizacji ryzyka beneficjent Dywersyfikuje dostawców i podpisał umowy o dostawę łącz z wieloma niezależnymi dostawcami.</w:t>
            </w:r>
            <w:r>
              <w:rPr>
                <w:rFonts w:ascii="Calibri" w:eastAsiaTheme="minorHAnsi" w:hAnsi="Calibri" w:cs="Calibri"/>
                <w:b w:val="0"/>
                <w:bCs w:val="0"/>
                <w:color w:val="000000"/>
                <w:kern w:val="0"/>
                <w:sz w:val="22"/>
                <w:szCs w:val="22"/>
              </w:rPr>
              <w:t xml:space="preserve"> </w:t>
            </w:r>
            <w:r w:rsidR="001E23A3" w:rsidRPr="001E23A3">
              <w:rPr>
                <w:rFonts w:ascii="Calibri" w:eastAsiaTheme="minorHAnsi" w:hAnsi="Calibri" w:cs="Calibri"/>
                <w:b w:val="0"/>
                <w:bCs w:val="0"/>
                <w:color w:val="000000"/>
                <w:kern w:val="0"/>
                <w:sz w:val="22"/>
                <w:szCs w:val="22"/>
              </w:rPr>
              <w:t>Proponowana reakcja: monitorowanie stanu łącz oraz działania zapobiegawcze i korygujące.</w:t>
            </w:r>
          </w:p>
          <w:p w14:paraId="59845D83" w14:textId="7E0C10E3" w:rsidR="006E0E46" w:rsidRPr="006E0E46" w:rsidRDefault="00685F75" w:rsidP="001036A9">
            <w:r>
              <w:t>Aktualnie prowadzony jest bieżący monitoring dostawców usług sieci szkieletowej, a także wykonywane są prace techniczne związane z zapewnieniem redundancji w dostępie do sieci szkieletowej dla laboratorium.</w:t>
            </w:r>
            <w:r w:rsidR="001036A9">
              <w:br/>
              <w:t xml:space="preserve">2. </w:t>
            </w:r>
            <w:r w:rsidR="00E8234E" w:rsidRPr="00E8234E">
              <w:t>Oczekiwane efekty działań będą skutkowały osiągnięciem założonego poziomu dostępności do usług wykazanym w Studium Wykonalności.</w:t>
            </w:r>
            <w:r w:rsidR="00912817">
              <w:br/>
            </w:r>
            <w:r w:rsidR="001036A9">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477868" w:rsidRPr="001B6667" w14:paraId="402BD44C" w14:textId="77777777" w:rsidTr="001527BF">
        <w:trPr>
          <w:trHeight w:val="724"/>
        </w:trPr>
        <w:tc>
          <w:tcPr>
            <w:tcW w:w="2694" w:type="dxa"/>
            <w:shd w:val="clear" w:color="auto" w:fill="auto"/>
            <w:vAlign w:val="center"/>
          </w:tcPr>
          <w:p w14:paraId="217CAD8B" w14:textId="14EBFF99" w:rsidR="00477868" w:rsidRDefault="001E23A3" w:rsidP="001527BF">
            <w:pPr>
              <w:pStyle w:val="Default"/>
              <w:jc w:val="center"/>
              <w:rPr>
                <w:sz w:val="22"/>
                <w:szCs w:val="22"/>
              </w:rPr>
            </w:pPr>
            <w:r w:rsidRPr="001E23A3">
              <w:rPr>
                <w:sz w:val="22"/>
                <w:szCs w:val="22"/>
              </w:rPr>
              <w:t>Ryzyko wystąpienia Czynników niezależnych od beneficjenta, lub zależnych pośrednio, wpływających negatywnie na ciągłość świadczonych usług.</w:t>
            </w:r>
          </w:p>
        </w:tc>
        <w:tc>
          <w:tcPr>
            <w:tcW w:w="1134" w:type="dxa"/>
            <w:shd w:val="clear" w:color="auto" w:fill="FFFFFF"/>
            <w:vAlign w:val="center"/>
          </w:tcPr>
          <w:p w14:paraId="471A7CFF" w14:textId="0C524C15"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Średnia</w:t>
            </w:r>
          </w:p>
        </w:tc>
        <w:tc>
          <w:tcPr>
            <w:tcW w:w="1275" w:type="dxa"/>
            <w:shd w:val="clear" w:color="auto" w:fill="FFFFFF"/>
            <w:vAlign w:val="center"/>
          </w:tcPr>
          <w:p w14:paraId="5E3A11C2" w14:textId="30CB4FDA"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Niskie</w:t>
            </w:r>
          </w:p>
        </w:tc>
        <w:tc>
          <w:tcPr>
            <w:tcW w:w="4677" w:type="dxa"/>
            <w:shd w:val="clear" w:color="auto" w:fill="FFFFFF"/>
          </w:tcPr>
          <w:p w14:paraId="4D220738" w14:textId="186F5462" w:rsidR="001E23A3" w:rsidRPr="001E23A3" w:rsidRDefault="001036A9" w:rsidP="001E23A3">
            <w:pPr>
              <w:pStyle w:val="Legenda"/>
              <w:rPr>
                <w:rFonts w:ascii="Calibri" w:eastAsiaTheme="minorHAnsi" w:hAnsi="Calibri" w:cs="Calibri"/>
                <w:b w:val="0"/>
                <w:bCs w:val="0"/>
                <w:color w:val="000000"/>
                <w:kern w:val="0"/>
                <w:sz w:val="22"/>
                <w:szCs w:val="22"/>
              </w:rPr>
            </w:pPr>
            <w:r>
              <w:rPr>
                <w:rFonts w:ascii="Calibri" w:eastAsiaTheme="minorHAnsi" w:hAnsi="Calibri" w:cs="Calibri"/>
                <w:b w:val="0"/>
                <w:bCs w:val="0"/>
                <w:color w:val="000000"/>
                <w:kern w:val="0"/>
                <w:sz w:val="22"/>
                <w:szCs w:val="22"/>
              </w:rPr>
              <w:t xml:space="preserve">1. </w:t>
            </w:r>
            <w:r w:rsidR="001E23A3" w:rsidRPr="001E23A3">
              <w:rPr>
                <w:rFonts w:ascii="Calibri" w:eastAsiaTheme="minorHAnsi" w:hAnsi="Calibri" w:cs="Calibri"/>
                <w:b w:val="0"/>
                <w:bCs w:val="0"/>
                <w:color w:val="000000"/>
                <w:kern w:val="0"/>
                <w:sz w:val="22"/>
                <w:szCs w:val="22"/>
              </w:rPr>
              <w:t>W celu minimalizacji ryzyka beneficjent przewidział szereg działań pozwalających na podniesienie dostępności i zwiększenie odporności systemu dystrybucji czasu na wpływ negatywnych czynników.</w:t>
            </w:r>
            <w:r>
              <w:rPr>
                <w:rFonts w:ascii="Calibri" w:eastAsiaTheme="minorHAnsi" w:hAnsi="Calibri" w:cs="Calibri"/>
                <w:b w:val="0"/>
                <w:bCs w:val="0"/>
                <w:color w:val="000000"/>
                <w:kern w:val="0"/>
                <w:sz w:val="22"/>
                <w:szCs w:val="22"/>
              </w:rPr>
              <w:t xml:space="preserve"> </w:t>
            </w:r>
            <w:r w:rsidR="001E23A3" w:rsidRPr="001E23A3">
              <w:rPr>
                <w:rFonts w:ascii="Calibri" w:eastAsiaTheme="minorHAnsi" w:hAnsi="Calibri" w:cs="Calibri"/>
                <w:b w:val="0"/>
                <w:bCs w:val="0"/>
                <w:color w:val="000000"/>
                <w:kern w:val="0"/>
                <w:sz w:val="22"/>
                <w:szCs w:val="22"/>
              </w:rPr>
              <w:t>Przewidywane do wdrożenia technologie pozwalające na realizację usług zostały przemyślane i zaplanowane oraz są wynikiem wielomiesięcznych konsultacji technicznych i wieloletniego doświadczenia pracowników Laboratorium. Ponadto przewidywane jest ciągłe monitorowanie infrastruktury odpowiedzialnej pośrednio (klimatyzacja precyzyjna) i bezpośrednio (zegary, serwery czasu) za świadczenie usług.</w:t>
            </w:r>
          </w:p>
          <w:p w14:paraId="1F2BD1FC" w14:textId="77777777" w:rsidR="001527BF" w:rsidRDefault="001E23A3" w:rsidP="001036A9">
            <w:pPr>
              <w:pStyle w:val="Legenda"/>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Proponowana reakcja: Monitorowanie usług oraz działania zapobiegawcze i korygujące.</w:t>
            </w:r>
            <w:r w:rsidR="001036A9">
              <w:rPr>
                <w:rFonts w:ascii="Calibri" w:eastAsiaTheme="minorHAnsi" w:hAnsi="Calibri" w:cs="Calibri"/>
                <w:b w:val="0"/>
                <w:bCs w:val="0"/>
                <w:color w:val="000000"/>
                <w:kern w:val="0"/>
                <w:sz w:val="22"/>
                <w:szCs w:val="22"/>
              </w:rPr>
              <w:t xml:space="preserve"> </w:t>
            </w:r>
            <w:r w:rsidR="00912817" w:rsidRPr="001036A9">
              <w:rPr>
                <w:rFonts w:ascii="Calibri" w:eastAsiaTheme="minorHAnsi" w:hAnsi="Calibri" w:cs="Calibri"/>
                <w:b w:val="0"/>
                <w:bCs w:val="0"/>
                <w:color w:val="000000"/>
                <w:kern w:val="0"/>
                <w:sz w:val="22"/>
                <w:szCs w:val="22"/>
              </w:rPr>
              <w:t>Aktualnie podejmowane są działania zarządcze polegające na nadzorze procesu monitorowania infrastruktury odpowiedzialnej pośrednio (klimatyzacja precyzyjna) i bezpośrednio (zegary, serwery czasu) za świadczenie usług.</w:t>
            </w:r>
          </w:p>
          <w:p w14:paraId="4CB18B76" w14:textId="5487A10B" w:rsidR="001527BF" w:rsidRDefault="001527BF" w:rsidP="001036A9">
            <w:pPr>
              <w:pStyle w:val="Legenda"/>
              <w:rPr>
                <w:rFonts w:ascii="Calibri" w:eastAsiaTheme="minorHAnsi" w:hAnsi="Calibri" w:cs="Calibri"/>
                <w:b w:val="0"/>
                <w:bCs w:val="0"/>
                <w:color w:val="000000"/>
                <w:kern w:val="0"/>
                <w:sz w:val="22"/>
                <w:szCs w:val="22"/>
              </w:rPr>
            </w:pPr>
            <w:r w:rsidRPr="001527BF">
              <w:rPr>
                <w:rFonts w:ascii="Calibri" w:eastAsiaTheme="minorHAnsi" w:hAnsi="Calibri" w:cs="Calibri"/>
                <w:b w:val="0"/>
                <w:bCs w:val="0"/>
                <w:color w:val="000000"/>
                <w:kern w:val="0"/>
                <w:sz w:val="22"/>
                <w:szCs w:val="22"/>
              </w:rPr>
              <w:t xml:space="preserve">2. Oczekiwane efekty działań będą skutkowały </w:t>
            </w:r>
            <w:r w:rsidR="00E8234E">
              <w:rPr>
                <w:rFonts w:ascii="Calibri" w:eastAsiaTheme="minorHAnsi" w:hAnsi="Calibri" w:cs="Calibri"/>
                <w:b w:val="0"/>
                <w:bCs w:val="0"/>
                <w:color w:val="000000"/>
                <w:kern w:val="0"/>
                <w:sz w:val="22"/>
                <w:szCs w:val="22"/>
              </w:rPr>
              <w:t>osiągnięciem założonego</w:t>
            </w:r>
            <w:r w:rsidRPr="001527BF">
              <w:rPr>
                <w:rFonts w:ascii="Calibri" w:eastAsiaTheme="minorHAnsi" w:hAnsi="Calibri" w:cs="Calibri"/>
                <w:b w:val="0"/>
                <w:bCs w:val="0"/>
                <w:color w:val="000000"/>
                <w:kern w:val="0"/>
                <w:sz w:val="22"/>
                <w:szCs w:val="22"/>
              </w:rPr>
              <w:t xml:space="preserve"> poziom</w:t>
            </w:r>
            <w:r w:rsidR="00E8234E">
              <w:rPr>
                <w:rFonts w:ascii="Calibri" w:eastAsiaTheme="minorHAnsi" w:hAnsi="Calibri" w:cs="Calibri"/>
                <w:b w:val="0"/>
                <w:bCs w:val="0"/>
                <w:color w:val="000000"/>
                <w:kern w:val="0"/>
                <w:sz w:val="22"/>
                <w:szCs w:val="22"/>
              </w:rPr>
              <w:t xml:space="preserve">u </w:t>
            </w:r>
            <w:r w:rsidRPr="001527BF">
              <w:rPr>
                <w:rFonts w:ascii="Calibri" w:eastAsiaTheme="minorHAnsi" w:hAnsi="Calibri" w:cs="Calibri"/>
                <w:b w:val="0"/>
                <w:bCs w:val="0"/>
                <w:color w:val="000000"/>
                <w:kern w:val="0"/>
                <w:sz w:val="22"/>
                <w:szCs w:val="22"/>
              </w:rPr>
              <w:t>dostępności do usług wykazanym w Studium Wykonalności.</w:t>
            </w:r>
          </w:p>
          <w:p w14:paraId="74C8387C" w14:textId="1B6A00E8" w:rsidR="006E0E46" w:rsidRPr="006E0E46" w:rsidRDefault="001527BF" w:rsidP="001036A9">
            <w:pPr>
              <w:pStyle w:val="Legenda"/>
            </w:pPr>
            <w:r>
              <w:rPr>
                <w:rFonts w:ascii="Calibri" w:eastAsiaTheme="minorHAnsi" w:hAnsi="Calibri" w:cs="Calibri"/>
                <w:b w:val="0"/>
                <w:bCs w:val="0"/>
                <w:color w:val="000000"/>
                <w:kern w:val="0"/>
                <w:sz w:val="22"/>
                <w:szCs w:val="22"/>
              </w:rPr>
              <w:t xml:space="preserve">3. </w:t>
            </w:r>
            <w:r w:rsidR="006E0E46" w:rsidRPr="001036A9">
              <w:rPr>
                <w:rFonts w:ascii="Calibri" w:eastAsiaTheme="minorHAnsi" w:hAnsi="Calibri" w:cs="Calibri"/>
                <w:b w:val="0"/>
                <w:bCs w:val="0"/>
                <w:color w:val="000000"/>
                <w:kern w:val="0"/>
                <w:sz w:val="22"/>
                <w:szCs w:val="22"/>
              </w:rPr>
              <w:t>W stosunku do poprzedniego okresu sprawozdawczego nie nastąpiła zmiana w zakresie danego ryzyka.</w:t>
            </w:r>
          </w:p>
        </w:tc>
      </w:tr>
    </w:tbl>
    <w:p w14:paraId="62E60D56" w14:textId="3C2F6A4E" w:rsidR="001527BF" w:rsidRDefault="001527BF">
      <w:pPr>
        <w:rPr>
          <w:rStyle w:val="Nagwek2Znak"/>
          <w:rFonts w:ascii="Arial" w:eastAsiaTheme="minorHAnsi" w:hAnsi="Arial" w:cs="Arial"/>
          <w:b/>
          <w:color w:val="auto"/>
          <w:sz w:val="24"/>
          <w:szCs w:val="24"/>
        </w:rPr>
      </w:pPr>
    </w:p>
    <w:p w14:paraId="020E0DD4" w14:textId="7035292C" w:rsidR="001527BF" w:rsidRDefault="001527BF">
      <w:pPr>
        <w:rPr>
          <w:rStyle w:val="Nagwek2Znak"/>
          <w:rFonts w:ascii="Arial" w:eastAsiaTheme="minorHAnsi" w:hAnsi="Arial" w:cs="Arial"/>
          <w:b/>
          <w:color w:val="auto"/>
          <w:sz w:val="24"/>
          <w:szCs w:val="24"/>
        </w:rPr>
      </w:pPr>
    </w:p>
    <w:p w14:paraId="42796ECE" w14:textId="77777777" w:rsidR="001527BF" w:rsidRDefault="001527BF">
      <w:pPr>
        <w:rPr>
          <w:rStyle w:val="Nagwek2Znak"/>
          <w:rFonts w:ascii="Arial" w:eastAsiaTheme="minorHAnsi" w:hAnsi="Arial" w:cs="Arial"/>
          <w:b/>
          <w:color w:val="auto"/>
          <w:sz w:val="24"/>
          <w:szCs w:val="24"/>
        </w:rPr>
      </w:pPr>
    </w:p>
    <w:p w14:paraId="33071B39" w14:textId="773261FD" w:rsid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4E132177" w14:textId="31A1E2BC" w:rsidR="00E36D70" w:rsidRPr="00E36D70" w:rsidRDefault="00E36D70" w:rsidP="00E36D70">
      <w:pPr>
        <w:pStyle w:val="Default"/>
        <w:rPr>
          <w:rStyle w:val="Nagwek2Znak"/>
          <w:rFonts w:ascii="Calibri" w:eastAsiaTheme="minorHAnsi" w:hAnsi="Calibri" w:cs="Calibri"/>
          <w:color w:val="000000"/>
          <w:sz w:val="22"/>
          <w:szCs w:val="22"/>
        </w:rPr>
      </w:pPr>
      <w:r w:rsidRPr="00E36D70">
        <w:rPr>
          <w:sz w:val="22"/>
          <w:szCs w:val="22"/>
        </w:rPr>
        <w:t>Nie dotyczy</w:t>
      </w:r>
    </w:p>
    <w:p w14:paraId="43BF3FD9" w14:textId="77777777" w:rsidR="006F36F8" w:rsidRPr="006F36F8"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Pr="00141A92">
        <w:rPr>
          <w:rFonts w:ascii="Arial" w:hAnsi="Arial" w:cs="Arial"/>
          <w:b/>
        </w:rPr>
        <w:t xml:space="preserve"> </w:t>
      </w:r>
      <w:bookmarkStart w:id="2" w:name="_Hlk18274129"/>
    </w:p>
    <w:p w14:paraId="0FA2F07F" w14:textId="562438FE" w:rsidR="00BB059E" w:rsidRPr="001E23A3" w:rsidRDefault="001E23A3" w:rsidP="006F36F8">
      <w:pPr>
        <w:pStyle w:val="Akapitzlist"/>
        <w:spacing w:before="360"/>
        <w:ind w:left="360"/>
        <w:jc w:val="both"/>
        <w:rPr>
          <w:rFonts w:ascii="Arial" w:hAnsi="Arial" w:cs="Arial"/>
          <w:bCs/>
          <w:color w:val="0070C0"/>
        </w:rPr>
      </w:pPr>
      <w:r>
        <w:rPr>
          <w:rFonts w:ascii="Arial" w:hAnsi="Arial" w:cs="Arial"/>
          <w:bCs/>
        </w:rPr>
        <w:t>M</w:t>
      </w:r>
      <w:r w:rsidR="006F36F8" w:rsidRPr="001E23A3">
        <w:rPr>
          <w:rFonts w:ascii="Calibri" w:hAnsi="Calibri" w:cs="Calibri"/>
          <w:color w:val="000000"/>
        </w:rPr>
        <w:t>aciej Gruszczyński, Laboratorium Czasu Głównego Urzędu Miar</w:t>
      </w:r>
      <w:r w:rsidR="004A532C" w:rsidRPr="001E23A3">
        <w:rPr>
          <w:rFonts w:ascii="Calibri" w:hAnsi="Calibri" w:cs="Calibri"/>
          <w:color w:val="000000"/>
        </w:rPr>
        <w:t xml:space="preserve">, </w:t>
      </w:r>
      <w:hyperlink r:id="rId8" w:history="1">
        <w:r w:rsidR="004A532C" w:rsidRPr="001E23A3">
          <w:t>maciej.gruszczynski@gum.gov.pl</w:t>
        </w:r>
      </w:hyperlink>
      <w:r w:rsidR="004A532C" w:rsidRPr="001E23A3">
        <w:rPr>
          <w:rFonts w:ascii="Arial" w:hAnsi="Arial" w:cs="Arial"/>
          <w:bCs/>
        </w:rPr>
        <w:t xml:space="preserve">, </w:t>
      </w:r>
      <w:bookmarkEnd w:id="2"/>
      <w:r w:rsidR="004A532C" w:rsidRPr="001E23A3">
        <w:rPr>
          <w:rFonts w:ascii="Calibri" w:hAnsi="Calibri" w:cs="Calibri"/>
          <w:color w:val="000000"/>
        </w:rPr>
        <w:t>22</w:t>
      </w:r>
      <w:r w:rsidRPr="001E23A3">
        <w:rPr>
          <w:rFonts w:ascii="Calibri" w:hAnsi="Calibri" w:cs="Calibri"/>
          <w:color w:val="000000"/>
        </w:rPr>
        <w:t> 581 94 72</w:t>
      </w:r>
    </w:p>
    <w:p w14:paraId="3E707801" w14:textId="77777777" w:rsidR="00A92887" w:rsidRDefault="00A92887" w:rsidP="00A92887">
      <w:pPr>
        <w:spacing w:after="0"/>
        <w:jc w:val="both"/>
        <w:rPr>
          <w:rFonts w:ascii="Arial" w:hAnsi="Arial" w:cs="Arial"/>
        </w:rPr>
      </w:pPr>
    </w:p>
    <w:p w14:paraId="75464274" w14:textId="77777777" w:rsidR="00A92887" w:rsidRDefault="00A92887" w:rsidP="00A92887">
      <w:pPr>
        <w:spacing w:after="0"/>
        <w:jc w:val="both"/>
        <w:rPr>
          <w:rFonts w:ascii="Arial" w:hAnsi="Arial" w:cs="Arial"/>
        </w:rPr>
      </w:pPr>
    </w:p>
    <w:p w14:paraId="20BF76ED" w14:textId="3D6C8783" w:rsidR="00A92887" w:rsidRDefault="001441D4" w:rsidP="00A92887">
      <w:pPr>
        <w:spacing w:after="0"/>
        <w:jc w:val="both"/>
        <w:rPr>
          <w:rFonts w:ascii="Arial" w:hAnsi="Arial" w:cs="Arial"/>
        </w:rPr>
      </w:pPr>
      <w:r>
        <w:rPr>
          <w:rFonts w:ascii="Arial" w:hAnsi="Arial" w:cs="Arial"/>
        </w:rPr>
        <w:t>Załącznik:</w:t>
      </w:r>
      <w:r w:rsidR="00A92887" w:rsidRPr="00A92887">
        <w:rPr>
          <w:rFonts w:ascii="Arial" w:hAnsi="Arial" w:cs="Arial"/>
        </w:rPr>
        <w:t xml:space="preserve"> </w:t>
      </w:r>
    </w:p>
    <w:p w14:paraId="5ACC80B6" w14:textId="2F7B1ACA" w:rsidR="00A92887" w:rsidRPr="00A92887" w:rsidRDefault="00A92887" w:rsidP="00A92887">
      <w:pPr>
        <w:spacing w:after="0"/>
        <w:jc w:val="both"/>
        <w:rPr>
          <w:rFonts w:ascii="Arial" w:hAnsi="Arial" w:cs="Arial"/>
        </w:rPr>
      </w:pPr>
      <w:r w:rsidRPr="00A92887">
        <w:rPr>
          <w:rFonts w:ascii="Arial" w:hAnsi="Arial" w:cs="Arial"/>
        </w:rPr>
        <w:t>Wzór raportu z wymiarowania systemu info</w:t>
      </w:r>
      <w:r>
        <w:rPr>
          <w:rFonts w:ascii="Arial" w:hAnsi="Arial" w:cs="Arial"/>
        </w:rPr>
        <w:t>r</w:t>
      </w:r>
      <w:r w:rsidRPr="00A92887">
        <w:rPr>
          <w:rFonts w:ascii="Arial" w:hAnsi="Arial" w:cs="Arial"/>
        </w:rPr>
        <w:t>matycznego</w:t>
      </w:r>
    </w:p>
    <w:sectPr w:rsidR="00A92887" w:rsidRPr="00A92887"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83CC9B" w14:textId="77777777" w:rsidR="00752401" w:rsidRDefault="00752401" w:rsidP="00BB2420">
      <w:pPr>
        <w:spacing w:after="0" w:line="240" w:lineRule="auto"/>
      </w:pPr>
      <w:r>
        <w:separator/>
      </w:r>
    </w:p>
  </w:endnote>
  <w:endnote w:type="continuationSeparator" w:id="0">
    <w:p w14:paraId="480935CE" w14:textId="77777777" w:rsidR="00752401" w:rsidRDefault="00752401"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E05502">
              <w:rPr>
                <w:b/>
                <w:bCs/>
                <w:noProof/>
              </w:rPr>
              <w:t>8</w:t>
            </w:r>
            <w:r>
              <w:rPr>
                <w:b/>
                <w:bCs/>
                <w:sz w:val="24"/>
                <w:szCs w:val="24"/>
              </w:rPr>
              <w:fldChar w:fldCharType="end"/>
            </w:r>
            <w:r>
              <w:t xml:space="preserve"> z </w:t>
            </w:r>
            <w:r w:rsidR="006C78AE">
              <w:rPr>
                <w:b/>
                <w:bCs/>
                <w:noProof/>
              </w:rPr>
              <w:t>5</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A5B2DC" w14:textId="77777777" w:rsidR="00752401" w:rsidRDefault="00752401" w:rsidP="00BB2420">
      <w:pPr>
        <w:spacing w:after="0" w:line="240" w:lineRule="auto"/>
      </w:pPr>
      <w:r>
        <w:separator/>
      </w:r>
    </w:p>
  </w:footnote>
  <w:footnote w:type="continuationSeparator" w:id="0">
    <w:p w14:paraId="0376AA34" w14:textId="77777777" w:rsidR="00752401" w:rsidRDefault="00752401" w:rsidP="00BB2420">
      <w:pPr>
        <w:spacing w:after="0" w:line="240" w:lineRule="auto"/>
      </w:pPr>
      <w:r>
        <w:continuationSeparator/>
      </w:r>
    </w:p>
  </w:footnote>
  <w:footnote w:id="1">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8E0C4D"/>
    <w:multiLevelType w:val="hybridMultilevel"/>
    <w:tmpl w:val="FCD89D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15C1412"/>
    <w:multiLevelType w:val="hybridMultilevel"/>
    <w:tmpl w:val="615434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2"/>
  </w:num>
  <w:num w:numId="3">
    <w:abstractNumId w:val="21"/>
  </w:num>
  <w:num w:numId="4">
    <w:abstractNumId w:val="10"/>
  </w:num>
  <w:num w:numId="5">
    <w:abstractNumId w:val="17"/>
  </w:num>
  <w:num w:numId="6">
    <w:abstractNumId w:val="3"/>
  </w:num>
  <w:num w:numId="7">
    <w:abstractNumId w:val="15"/>
  </w:num>
  <w:num w:numId="8">
    <w:abstractNumId w:val="0"/>
  </w:num>
  <w:num w:numId="9">
    <w:abstractNumId w:val="7"/>
  </w:num>
  <w:num w:numId="10">
    <w:abstractNumId w:val="4"/>
  </w:num>
  <w:num w:numId="11">
    <w:abstractNumId w:val="6"/>
  </w:num>
  <w:num w:numId="12">
    <w:abstractNumId w:val="16"/>
  </w:num>
  <w:num w:numId="13">
    <w:abstractNumId w:val="14"/>
  </w:num>
  <w:num w:numId="14">
    <w:abstractNumId w:val="1"/>
  </w:num>
  <w:num w:numId="15">
    <w:abstractNumId w:val="19"/>
  </w:num>
  <w:num w:numId="16">
    <w:abstractNumId w:val="8"/>
  </w:num>
  <w:num w:numId="17">
    <w:abstractNumId w:val="12"/>
  </w:num>
  <w:num w:numId="18">
    <w:abstractNumId w:val="11"/>
  </w:num>
  <w:num w:numId="19">
    <w:abstractNumId w:val="9"/>
  </w:num>
  <w:num w:numId="20">
    <w:abstractNumId w:val="20"/>
  </w:num>
  <w:num w:numId="21">
    <w:abstractNumId w:val="18"/>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1329"/>
    <w:rsid w:val="00003CB0"/>
    <w:rsid w:val="00006E59"/>
    <w:rsid w:val="00016A5B"/>
    <w:rsid w:val="00016FB5"/>
    <w:rsid w:val="00032172"/>
    <w:rsid w:val="00043DD9"/>
    <w:rsid w:val="00044D68"/>
    <w:rsid w:val="00047D9D"/>
    <w:rsid w:val="0006403E"/>
    <w:rsid w:val="00065DC9"/>
    <w:rsid w:val="00070663"/>
    <w:rsid w:val="00071880"/>
    <w:rsid w:val="00075F8C"/>
    <w:rsid w:val="0008447F"/>
    <w:rsid w:val="00084E5B"/>
    <w:rsid w:val="00087231"/>
    <w:rsid w:val="00095944"/>
    <w:rsid w:val="000A1DFB"/>
    <w:rsid w:val="000A2F32"/>
    <w:rsid w:val="000A3938"/>
    <w:rsid w:val="000B059E"/>
    <w:rsid w:val="000B3E49"/>
    <w:rsid w:val="000C0FAE"/>
    <w:rsid w:val="000C32FA"/>
    <w:rsid w:val="000C55C1"/>
    <w:rsid w:val="000E0060"/>
    <w:rsid w:val="000E1828"/>
    <w:rsid w:val="000E283E"/>
    <w:rsid w:val="000E4BF8"/>
    <w:rsid w:val="000F1ADE"/>
    <w:rsid w:val="000F20A9"/>
    <w:rsid w:val="000F307B"/>
    <w:rsid w:val="000F30B9"/>
    <w:rsid w:val="001036A9"/>
    <w:rsid w:val="0011693F"/>
    <w:rsid w:val="00122388"/>
    <w:rsid w:val="00124C3D"/>
    <w:rsid w:val="001309CA"/>
    <w:rsid w:val="00141771"/>
    <w:rsid w:val="00141A92"/>
    <w:rsid w:val="001441D4"/>
    <w:rsid w:val="00145E84"/>
    <w:rsid w:val="001507DA"/>
    <w:rsid w:val="0015102C"/>
    <w:rsid w:val="001527BF"/>
    <w:rsid w:val="00153381"/>
    <w:rsid w:val="00176FBB"/>
    <w:rsid w:val="00181E97"/>
    <w:rsid w:val="00182A08"/>
    <w:rsid w:val="00193983"/>
    <w:rsid w:val="001A2EF2"/>
    <w:rsid w:val="001A37B1"/>
    <w:rsid w:val="001A6485"/>
    <w:rsid w:val="001B4C59"/>
    <w:rsid w:val="001C2D74"/>
    <w:rsid w:val="001C7FAC"/>
    <w:rsid w:val="001D167C"/>
    <w:rsid w:val="001E0CAC"/>
    <w:rsid w:val="001E16A3"/>
    <w:rsid w:val="001E1DEA"/>
    <w:rsid w:val="001E23A3"/>
    <w:rsid w:val="001E2470"/>
    <w:rsid w:val="001E595C"/>
    <w:rsid w:val="001E7199"/>
    <w:rsid w:val="001F24A0"/>
    <w:rsid w:val="001F67EC"/>
    <w:rsid w:val="0020330A"/>
    <w:rsid w:val="00207BF2"/>
    <w:rsid w:val="00237279"/>
    <w:rsid w:val="00240D69"/>
    <w:rsid w:val="00241A07"/>
    <w:rsid w:val="00241B5E"/>
    <w:rsid w:val="00252087"/>
    <w:rsid w:val="00263392"/>
    <w:rsid w:val="00265194"/>
    <w:rsid w:val="0027086E"/>
    <w:rsid w:val="00276C00"/>
    <w:rsid w:val="002825F1"/>
    <w:rsid w:val="00293351"/>
    <w:rsid w:val="00294349"/>
    <w:rsid w:val="002A2053"/>
    <w:rsid w:val="002A3C02"/>
    <w:rsid w:val="002A5452"/>
    <w:rsid w:val="002B4889"/>
    <w:rsid w:val="002B50C0"/>
    <w:rsid w:val="002B6F21"/>
    <w:rsid w:val="002B753E"/>
    <w:rsid w:val="002D1AA0"/>
    <w:rsid w:val="002D3D4A"/>
    <w:rsid w:val="002D7ADA"/>
    <w:rsid w:val="002E2FAF"/>
    <w:rsid w:val="002F29A3"/>
    <w:rsid w:val="0030196F"/>
    <w:rsid w:val="00302775"/>
    <w:rsid w:val="00304D04"/>
    <w:rsid w:val="00310D8E"/>
    <w:rsid w:val="00320F0E"/>
    <w:rsid w:val="00321711"/>
    <w:rsid w:val="003221F2"/>
    <w:rsid w:val="00322614"/>
    <w:rsid w:val="003249C9"/>
    <w:rsid w:val="00334A24"/>
    <w:rsid w:val="003410FE"/>
    <w:rsid w:val="003508E7"/>
    <w:rsid w:val="003542F1"/>
    <w:rsid w:val="00356A3E"/>
    <w:rsid w:val="003642B8"/>
    <w:rsid w:val="00366DB6"/>
    <w:rsid w:val="00392919"/>
    <w:rsid w:val="003A4115"/>
    <w:rsid w:val="003B5B7A"/>
    <w:rsid w:val="003C52E9"/>
    <w:rsid w:val="003C7325"/>
    <w:rsid w:val="003D7DD0"/>
    <w:rsid w:val="003E3144"/>
    <w:rsid w:val="00400F2E"/>
    <w:rsid w:val="00405EA4"/>
    <w:rsid w:val="004062AB"/>
    <w:rsid w:val="004063B6"/>
    <w:rsid w:val="00407B0B"/>
    <w:rsid w:val="0041034F"/>
    <w:rsid w:val="004118A3"/>
    <w:rsid w:val="00417FE3"/>
    <w:rsid w:val="00423A26"/>
    <w:rsid w:val="00425046"/>
    <w:rsid w:val="004350B8"/>
    <w:rsid w:val="0044425F"/>
    <w:rsid w:val="00444AAB"/>
    <w:rsid w:val="00450089"/>
    <w:rsid w:val="00451238"/>
    <w:rsid w:val="004729D1"/>
    <w:rsid w:val="0047542D"/>
    <w:rsid w:val="00477868"/>
    <w:rsid w:val="004A532C"/>
    <w:rsid w:val="004B75AC"/>
    <w:rsid w:val="004C1D48"/>
    <w:rsid w:val="004D65CA"/>
    <w:rsid w:val="004F6E89"/>
    <w:rsid w:val="00504B06"/>
    <w:rsid w:val="00507548"/>
    <w:rsid w:val="005076A1"/>
    <w:rsid w:val="00513213"/>
    <w:rsid w:val="00517D9A"/>
    <w:rsid w:val="00517F12"/>
    <w:rsid w:val="0052102C"/>
    <w:rsid w:val="005212C8"/>
    <w:rsid w:val="00524E6C"/>
    <w:rsid w:val="005332D6"/>
    <w:rsid w:val="00544DFE"/>
    <w:rsid w:val="005548F2"/>
    <w:rsid w:val="0056133C"/>
    <w:rsid w:val="005734CE"/>
    <w:rsid w:val="00573BED"/>
    <w:rsid w:val="005840AB"/>
    <w:rsid w:val="00586664"/>
    <w:rsid w:val="00593290"/>
    <w:rsid w:val="005A0E33"/>
    <w:rsid w:val="005A12F7"/>
    <w:rsid w:val="005A1B30"/>
    <w:rsid w:val="005A6505"/>
    <w:rsid w:val="005B1A32"/>
    <w:rsid w:val="005C0469"/>
    <w:rsid w:val="005C094D"/>
    <w:rsid w:val="005C6116"/>
    <w:rsid w:val="005C77BB"/>
    <w:rsid w:val="005D17CF"/>
    <w:rsid w:val="005D24AF"/>
    <w:rsid w:val="005D5AAB"/>
    <w:rsid w:val="005D6E12"/>
    <w:rsid w:val="005E0ED8"/>
    <w:rsid w:val="005E6ABD"/>
    <w:rsid w:val="005F41FA"/>
    <w:rsid w:val="00600AE4"/>
    <w:rsid w:val="006054AA"/>
    <w:rsid w:val="0062054D"/>
    <w:rsid w:val="006334BF"/>
    <w:rsid w:val="00635A54"/>
    <w:rsid w:val="0064641A"/>
    <w:rsid w:val="00660C01"/>
    <w:rsid w:val="00661A62"/>
    <w:rsid w:val="00670B2C"/>
    <w:rsid w:val="006731D9"/>
    <w:rsid w:val="006800D7"/>
    <w:rsid w:val="006822BC"/>
    <w:rsid w:val="00685F75"/>
    <w:rsid w:val="006948D3"/>
    <w:rsid w:val="006A60AA"/>
    <w:rsid w:val="006B034F"/>
    <w:rsid w:val="006B1DE6"/>
    <w:rsid w:val="006B5117"/>
    <w:rsid w:val="006C78AE"/>
    <w:rsid w:val="006D5034"/>
    <w:rsid w:val="006E0CFA"/>
    <w:rsid w:val="006E0E46"/>
    <w:rsid w:val="006E6205"/>
    <w:rsid w:val="006F33DC"/>
    <w:rsid w:val="006F36F8"/>
    <w:rsid w:val="00701800"/>
    <w:rsid w:val="00715E56"/>
    <w:rsid w:val="00725708"/>
    <w:rsid w:val="00740A47"/>
    <w:rsid w:val="00746ABD"/>
    <w:rsid w:val="00752401"/>
    <w:rsid w:val="00760664"/>
    <w:rsid w:val="007738BB"/>
    <w:rsid w:val="0077418F"/>
    <w:rsid w:val="00775C44"/>
    <w:rsid w:val="00776802"/>
    <w:rsid w:val="0078594B"/>
    <w:rsid w:val="007924CE"/>
    <w:rsid w:val="00795AFA"/>
    <w:rsid w:val="007A4742"/>
    <w:rsid w:val="007B0251"/>
    <w:rsid w:val="007C2F7E"/>
    <w:rsid w:val="007C39A0"/>
    <w:rsid w:val="007C5219"/>
    <w:rsid w:val="007C6235"/>
    <w:rsid w:val="007C70D1"/>
    <w:rsid w:val="007D1990"/>
    <w:rsid w:val="007D2C34"/>
    <w:rsid w:val="007D38BD"/>
    <w:rsid w:val="007D3F21"/>
    <w:rsid w:val="007E341A"/>
    <w:rsid w:val="007F126F"/>
    <w:rsid w:val="007F1619"/>
    <w:rsid w:val="007F5EDA"/>
    <w:rsid w:val="0080306F"/>
    <w:rsid w:val="00803FBE"/>
    <w:rsid w:val="00805178"/>
    <w:rsid w:val="00806134"/>
    <w:rsid w:val="008229D9"/>
    <w:rsid w:val="00830B70"/>
    <w:rsid w:val="00836502"/>
    <w:rsid w:val="00840749"/>
    <w:rsid w:val="008466BF"/>
    <w:rsid w:val="00873B8F"/>
    <w:rsid w:val="0087452F"/>
    <w:rsid w:val="00875528"/>
    <w:rsid w:val="00884686"/>
    <w:rsid w:val="008A332F"/>
    <w:rsid w:val="008A52F6"/>
    <w:rsid w:val="008B393D"/>
    <w:rsid w:val="008B4E0D"/>
    <w:rsid w:val="008B5CB5"/>
    <w:rsid w:val="008C4BCD"/>
    <w:rsid w:val="008C6721"/>
    <w:rsid w:val="008D3826"/>
    <w:rsid w:val="008F2D9B"/>
    <w:rsid w:val="008F5402"/>
    <w:rsid w:val="008F67EE"/>
    <w:rsid w:val="009079D3"/>
    <w:rsid w:val="00907F6D"/>
    <w:rsid w:val="00911190"/>
    <w:rsid w:val="0091202E"/>
    <w:rsid w:val="00912817"/>
    <w:rsid w:val="0091332C"/>
    <w:rsid w:val="009256F2"/>
    <w:rsid w:val="009264CB"/>
    <w:rsid w:val="00933BEC"/>
    <w:rsid w:val="009347B8"/>
    <w:rsid w:val="00935DE6"/>
    <w:rsid w:val="00936729"/>
    <w:rsid w:val="00947EB0"/>
    <w:rsid w:val="0095183B"/>
    <w:rsid w:val="00952126"/>
    <w:rsid w:val="00952617"/>
    <w:rsid w:val="009663A6"/>
    <w:rsid w:val="00971A40"/>
    <w:rsid w:val="00976434"/>
    <w:rsid w:val="00992EA3"/>
    <w:rsid w:val="00994055"/>
    <w:rsid w:val="009967CA"/>
    <w:rsid w:val="009A17FF"/>
    <w:rsid w:val="009B4423"/>
    <w:rsid w:val="009C3F53"/>
    <w:rsid w:val="009C6140"/>
    <w:rsid w:val="009D2FA4"/>
    <w:rsid w:val="009D7D8A"/>
    <w:rsid w:val="009E4C67"/>
    <w:rsid w:val="009F09BF"/>
    <w:rsid w:val="009F1DC8"/>
    <w:rsid w:val="009F437E"/>
    <w:rsid w:val="009F5EE5"/>
    <w:rsid w:val="00A07CF9"/>
    <w:rsid w:val="00A11788"/>
    <w:rsid w:val="00A17AD3"/>
    <w:rsid w:val="00A2440D"/>
    <w:rsid w:val="00A30847"/>
    <w:rsid w:val="00A3378C"/>
    <w:rsid w:val="00A36AE2"/>
    <w:rsid w:val="00A43E49"/>
    <w:rsid w:val="00A44EA2"/>
    <w:rsid w:val="00A54B8F"/>
    <w:rsid w:val="00A56D63"/>
    <w:rsid w:val="00A67685"/>
    <w:rsid w:val="00A728AE"/>
    <w:rsid w:val="00A804AE"/>
    <w:rsid w:val="00A82B0D"/>
    <w:rsid w:val="00A86449"/>
    <w:rsid w:val="00A87C1C"/>
    <w:rsid w:val="00A92887"/>
    <w:rsid w:val="00AA4CAB"/>
    <w:rsid w:val="00AA51AD"/>
    <w:rsid w:val="00AA730D"/>
    <w:rsid w:val="00AB2E01"/>
    <w:rsid w:val="00AB6AAA"/>
    <w:rsid w:val="00AC7E26"/>
    <w:rsid w:val="00AD0FE0"/>
    <w:rsid w:val="00AD1FBD"/>
    <w:rsid w:val="00AD28EC"/>
    <w:rsid w:val="00AD45BB"/>
    <w:rsid w:val="00AD6B61"/>
    <w:rsid w:val="00AE1643"/>
    <w:rsid w:val="00AE3A6C"/>
    <w:rsid w:val="00AF09B8"/>
    <w:rsid w:val="00AF567D"/>
    <w:rsid w:val="00B17709"/>
    <w:rsid w:val="00B23828"/>
    <w:rsid w:val="00B27EE9"/>
    <w:rsid w:val="00B325D7"/>
    <w:rsid w:val="00B41415"/>
    <w:rsid w:val="00B440C3"/>
    <w:rsid w:val="00B46B7D"/>
    <w:rsid w:val="00B50560"/>
    <w:rsid w:val="00B5532F"/>
    <w:rsid w:val="00B64B3C"/>
    <w:rsid w:val="00B673C6"/>
    <w:rsid w:val="00B700FB"/>
    <w:rsid w:val="00B74859"/>
    <w:rsid w:val="00B87D3D"/>
    <w:rsid w:val="00B91243"/>
    <w:rsid w:val="00B945EC"/>
    <w:rsid w:val="00BA481C"/>
    <w:rsid w:val="00BB059E"/>
    <w:rsid w:val="00BB18FD"/>
    <w:rsid w:val="00BB2420"/>
    <w:rsid w:val="00BB49AC"/>
    <w:rsid w:val="00BB5ACE"/>
    <w:rsid w:val="00BC132D"/>
    <w:rsid w:val="00BC1BD2"/>
    <w:rsid w:val="00BC5087"/>
    <w:rsid w:val="00BC6BE4"/>
    <w:rsid w:val="00BD74CC"/>
    <w:rsid w:val="00BE28F7"/>
    <w:rsid w:val="00BE47CD"/>
    <w:rsid w:val="00BE5BF9"/>
    <w:rsid w:val="00BF6E31"/>
    <w:rsid w:val="00C1106C"/>
    <w:rsid w:val="00C13D29"/>
    <w:rsid w:val="00C2175B"/>
    <w:rsid w:val="00C21CC2"/>
    <w:rsid w:val="00C244A1"/>
    <w:rsid w:val="00C26361"/>
    <w:rsid w:val="00C302F1"/>
    <w:rsid w:val="00C32AE0"/>
    <w:rsid w:val="00C33A88"/>
    <w:rsid w:val="00C3575F"/>
    <w:rsid w:val="00C363F7"/>
    <w:rsid w:val="00C41CB2"/>
    <w:rsid w:val="00C42AEA"/>
    <w:rsid w:val="00C57985"/>
    <w:rsid w:val="00C6751B"/>
    <w:rsid w:val="00C859E2"/>
    <w:rsid w:val="00C85AF2"/>
    <w:rsid w:val="00C948F8"/>
    <w:rsid w:val="00CA516B"/>
    <w:rsid w:val="00CB3907"/>
    <w:rsid w:val="00CC03F2"/>
    <w:rsid w:val="00CC7E21"/>
    <w:rsid w:val="00CD0C8B"/>
    <w:rsid w:val="00CE1BE0"/>
    <w:rsid w:val="00CE74F9"/>
    <w:rsid w:val="00CE7777"/>
    <w:rsid w:val="00CF2E64"/>
    <w:rsid w:val="00D02F6D"/>
    <w:rsid w:val="00D22C21"/>
    <w:rsid w:val="00D25CFE"/>
    <w:rsid w:val="00D26BC4"/>
    <w:rsid w:val="00D330AF"/>
    <w:rsid w:val="00D4607F"/>
    <w:rsid w:val="00D55883"/>
    <w:rsid w:val="00D57025"/>
    <w:rsid w:val="00D57765"/>
    <w:rsid w:val="00D77F50"/>
    <w:rsid w:val="00D8544A"/>
    <w:rsid w:val="00D859F4"/>
    <w:rsid w:val="00D85A52"/>
    <w:rsid w:val="00D86FEC"/>
    <w:rsid w:val="00D928E3"/>
    <w:rsid w:val="00DA34DF"/>
    <w:rsid w:val="00DA534C"/>
    <w:rsid w:val="00DB69FD"/>
    <w:rsid w:val="00DC0A8A"/>
    <w:rsid w:val="00DC1705"/>
    <w:rsid w:val="00DC39A9"/>
    <w:rsid w:val="00DC4C79"/>
    <w:rsid w:val="00DE6249"/>
    <w:rsid w:val="00DE731D"/>
    <w:rsid w:val="00E0076D"/>
    <w:rsid w:val="00E0110F"/>
    <w:rsid w:val="00E019FD"/>
    <w:rsid w:val="00E05502"/>
    <w:rsid w:val="00E11B44"/>
    <w:rsid w:val="00E1246B"/>
    <w:rsid w:val="00E15DEB"/>
    <w:rsid w:val="00E1688D"/>
    <w:rsid w:val="00E203EB"/>
    <w:rsid w:val="00E22572"/>
    <w:rsid w:val="00E23CE4"/>
    <w:rsid w:val="00E35401"/>
    <w:rsid w:val="00E36D70"/>
    <w:rsid w:val="00E375DB"/>
    <w:rsid w:val="00E42938"/>
    <w:rsid w:val="00E468BD"/>
    <w:rsid w:val="00E47508"/>
    <w:rsid w:val="00E55EB0"/>
    <w:rsid w:val="00E57BB7"/>
    <w:rsid w:val="00E61CB0"/>
    <w:rsid w:val="00E71256"/>
    <w:rsid w:val="00E71BCF"/>
    <w:rsid w:val="00E81D7C"/>
    <w:rsid w:val="00E8234E"/>
    <w:rsid w:val="00E83FA4"/>
    <w:rsid w:val="00E86020"/>
    <w:rsid w:val="00E9234B"/>
    <w:rsid w:val="00EA0B4F"/>
    <w:rsid w:val="00EB00AB"/>
    <w:rsid w:val="00EC2AFC"/>
    <w:rsid w:val="00F11835"/>
    <w:rsid w:val="00F138F7"/>
    <w:rsid w:val="00F2008A"/>
    <w:rsid w:val="00F219A2"/>
    <w:rsid w:val="00F21D9E"/>
    <w:rsid w:val="00F25348"/>
    <w:rsid w:val="00F45506"/>
    <w:rsid w:val="00F60062"/>
    <w:rsid w:val="00F613CC"/>
    <w:rsid w:val="00F6503C"/>
    <w:rsid w:val="00F76777"/>
    <w:rsid w:val="00F83F2F"/>
    <w:rsid w:val="00F86555"/>
    <w:rsid w:val="00F86C58"/>
    <w:rsid w:val="00F900FC"/>
    <w:rsid w:val="00FB2DDA"/>
    <w:rsid w:val="00FB4804"/>
    <w:rsid w:val="00FC30C7"/>
    <w:rsid w:val="00FC3B03"/>
    <w:rsid w:val="00FC794E"/>
    <w:rsid w:val="00FE25BD"/>
    <w:rsid w:val="00FF03A2"/>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4A532C"/>
    <w:rPr>
      <w:color w:val="0563C1" w:themeColor="hyperlink"/>
      <w:u w:val="single"/>
    </w:rPr>
  </w:style>
  <w:style w:type="character" w:customStyle="1" w:styleId="Nierozpoznanawzmianka1">
    <w:name w:val="Nierozpoznana wzmianka1"/>
    <w:basedOn w:val="Domylnaczcionkaakapitu"/>
    <w:uiPriority w:val="99"/>
    <w:semiHidden/>
    <w:unhideWhenUsed/>
    <w:rsid w:val="004A532C"/>
    <w:rPr>
      <w:color w:val="605E5C"/>
      <w:shd w:val="clear" w:color="auto" w:fill="E1DFDD"/>
    </w:rPr>
  </w:style>
  <w:style w:type="paragraph" w:customStyle="1" w:styleId="Default">
    <w:name w:val="Default"/>
    <w:rsid w:val="00E36D7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961839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ciej.gruszczynski@gum.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8FA24-BFD2-41BE-9BFD-7271D6414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3477</Words>
  <Characters>20868</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2022-01-14T17:20:00Z</dcterms:created>
  <dcterms:modified xsi:type="dcterms:W3CDTF">2022-01-14T17:20:00Z</dcterms:modified>
</cp:coreProperties>
</file>